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024E2" w14:textId="6FF3EA8E" w:rsidR="00DD6D54" w:rsidRPr="004F3D9D" w:rsidRDefault="00DD6D54" w:rsidP="00DD6D54">
      <w:pPr>
        <w:spacing w:before="200" w:after="200" w:line="276" w:lineRule="auto"/>
        <w:jc w:val="both"/>
        <w:rPr>
          <w:rFonts w:ascii="Times New Roman" w:hAnsi="Times New Roman"/>
          <w:sz w:val="22"/>
          <w:szCs w:val="22"/>
        </w:rPr>
      </w:pPr>
      <w:r w:rsidRPr="1211BDFB">
        <w:rPr>
          <w:rFonts w:ascii="Times New Roman" w:hAnsi="Times New Roman"/>
          <w:sz w:val="22"/>
          <w:szCs w:val="22"/>
        </w:rPr>
        <w:t>The Part 200 Uniform Requirements require that non-Federal entities’ contracts contain the applicable provisions described in Appendix II to Part 200 — “Contract Provisions for Non-Federal Entity Contracts Under Federal Awards.” Violations of law will be referred to the proper authority in the applicable jurisdiction. All Prime Contractors awarded contracts by Harris County which are federally funded, in whole or in part, are required to comply with the provisions below. Additionally, Prime Contractors with Harris County are required to include the provisions below in any contracts executed with subcontractors performing the scope of work</w:t>
      </w:r>
      <w:r>
        <w:rPr>
          <w:rFonts w:ascii="Times New Roman" w:hAnsi="Times New Roman"/>
          <w:sz w:val="22"/>
          <w:szCs w:val="22"/>
        </w:rPr>
        <w:t xml:space="preserve"> </w:t>
      </w:r>
      <w:r w:rsidRPr="0047115D">
        <w:rPr>
          <w:rFonts w:ascii="Times New Roman" w:hAnsi="Times New Roman"/>
          <w:sz w:val="22"/>
          <w:szCs w:val="22"/>
        </w:rPr>
        <w:t>and shall pass these requirements on to its subcontractors and third-p</w:t>
      </w:r>
      <w:r>
        <w:rPr>
          <w:rFonts w:ascii="Times New Roman" w:hAnsi="Times New Roman"/>
          <w:sz w:val="22"/>
          <w:szCs w:val="22"/>
        </w:rPr>
        <w:t>arty contractors, as applicable</w:t>
      </w:r>
      <w:r w:rsidRPr="1211BDFB">
        <w:rPr>
          <w:rFonts w:ascii="Times New Roman" w:hAnsi="Times New Roman"/>
          <w:sz w:val="22"/>
          <w:szCs w:val="22"/>
        </w:rPr>
        <w:t>. In addition to other provisions required by the relevant Federal agency, State of Texas, or Harris County, all contracts made by Harris County under the Federal award shall contain provisions covering the following, as applicable.</w:t>
      </w:r>
      <w:r w:rsidRPr="0047115D">
        <w:t xml:space="preserve"> </w:t>
      </w:r>
    </w:p>
    <w:p w14:paraId="4B63953E" w14:textId="77777777" w:rsidR="00DD6D54" w:rsidRPr="004F3D9D" w:rsidRDefault="00DD6D54" w:rsidP="00DD6D54">
      <w:pPr>
        <w:tabs>
          <w:tab w:val="left" w:pos="-720"/>
        </w:tabs>
        <w:suppressAutoHyphens/>
        <w:spacing w:before="200" w:after="200" w:line="276" w:lineRule="auto"/>
        <w:ind w:left="360"/>
        <w:jc w:val="both"/>
        <w:outlineLvl w:val="0"/>
        <w:rPr>
          <w:rFonts w:ascii="Times New Roman" w:hAnsi="Times New Roman"/>
          <w:b/>
          <w:bCs/>
          <w:sz w:val="22"/>
          <w:szCs w:val="22"/>
        </w:rPr>
      </w:pPr>
      <w:r w:rsidRPr="1211BDFB">
        <w:rPr>
          <w:rFonts w:ascii="Times New Roman" w:hAnsi="Times New Roman"/>
          <w:b/>
          <w:bCs/>
          <w:sz w:val="22"/>
          <w:szCs w:val="22"/>
        </w:rPr>
        <w:t>ACCESS TO RECORDS</w:t>
      </w:r>
      <w:r>
        <w:rPr>
          <w:rFonts w:ascii="Times New Roman" w:hAnsi="Times New Roman"/>
          <w:b/>
          <w:bCs/>
          <w:sz w:val="22"/>
          <w:szCs w:val="22"/>
        </w:rPr>
        <w:t xml:space="preserve"> &amp; RECORD RETENTION</w:t>
      </w:r>
      <w:r w:rsidRPr="1211BDFB">
        <w:rPr>
          <w:rFonts w:ascii="Times New Roman" w:hAnsi="Times New Roman"/>
          <w:b/>
          <w:bCs/>
          <w:sz w:val="22"/>
          <w:szCs w:val="22"/>
        </w:rPr>
        <w:t xml:space="preserve"> (2 CFR 200.336)</w:t>
      </w:r>
    </w:p>
    <w:p w14:paraId="46614CA1" w14:textId="77777777" w:rsidR="00DD6D54" w:rsidRPr="004F3D9D" w:rsidRDefault="00DD6D54" w:rsidP="00DD6D54">
      <w:pPr>
        <w:spacing w:before="200" w:after="200" w:line="276" w:lineRule="auto"/>
        <w:ind w:left="360"/>
        <w:jc w:val="both"/>
        <w:rPr>
          <w:rFonts w:ascii="Times New Roman" w:hAnsi="Times New Roman"/>
          <w:sz w:val="22"/>
          <w:szCs w:val="22"/>
        </w:rPr>
      </w:pPr>
      <w:r w:rsidRPr="6F7FD60C">
        <w:rPr>
          <w:rFonts w:ascii="Times New Roman" w:hAnsi="Times New Roman"/>
          <w:sz w:val="22"/>
          <w:szCs w:val="22"/>
        </w:rPr>
        <w:t xml:space="preserve">Contractor </w:t>
      </w:r>
      <w:r>
        <w:rPr>
          <w:rFonts w:ascii="Times New Roman" w:hAnsi="Times New Roman"/>
          <w:sz w:val="22"/>
          <w:szCs w:val="22"/>
        </w:rPr>
        <w:t>must</w:t>
      </w:r>
      <w:r w:rsidRPr="6F7FD60C">
        <w:rPr>
          <w:rFonts w:ascii="Times New Roman" w:hAnsi="Times New Roman"/>
          <w:sz w:val="22"/>
          <w:szCs w:val="22"/>
        </w:rPr>
        <w:t xml:space="preserve"> provide Harris County, the State of Texas, the Texas General Land Office (GLO), the U.S. Department of Housing and Urban Development (HUD), the FEMA Administrator, the Inspectors General, the Comptroller General of the United States, or any of their pass-through entities or authorized representatives access to any books, documents, papers, and records of the Contractor and its subcontractors which are directly pertinent to this contract/project for the purposes of making/responding to audits, examinations, excerpts, and transcriptions. The right also includes timely and reasonable access to the Contractor’s personnel for the purpose of interview and discussion related to such documents. Contractor must keep records within Harris County or note in </w:t>
      </w:r>
      <w:r>
        <w:rPr>
          <w:rFonts w:ascii="Times New Roman" w:hAnsi="Times New Roman"/>
          <w:sz w:val="22"/>
          <w:szCs w:val="22"/>
        </w:rPr>
        <w:t>bid</w:t>
      </w:r>
      <w:r w:rsidRPr="6F7FD60C">
        <w:rPr>
          <w:rFonts w:ascii="Times New Roman" w:hAnsi="Times New Roman"/>
          <w:sz w:val="22"/>
          <w:szCs w:val="22"/>
        </w:rPr>
        <w:t xml:space="preserve"> that records will be available within the boundaries of Harris County to those representatives within twenty-four (24) hours of request by the County. </w:t>
      </w:r>
      <w:r>
        <w:rPr>
          <w:rFonts w:ascii="Times New Roman" w:hAnsi="Times New Roman"/>
          <w:sz w:val="22"/>
          <w:szCs w:val="22"/>
        </w:rPr>
        <w:t>Contractor</w:t>
      </w:r>
      <w:r w:rsidRPr="0042740B">
        <w:rPr>
          <w:rFonts w:ascii="Times New Roman" w:hAnsi="Times New Roman"/>
          <w:sz w:val="22"/>
          <w:szCs w:val="22"/>
        </w:rPr>
        <w:t xml:space="preserve"> </w:t>
      </w:r>
      <w:r>
        <w:rPr>
          <w:rFonts w:ascii="Times New Roman" w:hAnsi="Times New Roman"/>
          <w:sz w:val="22"/>
          <w:szCs w:val="22"/>
        </w:rPr>
        <w:t>must</w:t>
      </w:r>
      <w:r w:rsidRPr="0042740B">
        <w:rPr>
          <w:rFonts w:ascii="Times New Roman" w:hAnsi="Times New Roman"/>
          <w:sz w:val="22"/>
          <w:szCs w:val="22"/>
        </w:rPr>
        <w:t xml:space="preserve"> maintain all records pertaining to the project for seven (7) years after receiving final payment and after all other pending matters have been closed.</w:t>
      </w:r>
    </w:p>
    <w:p w14:paraId="1DC5A5EA" w14:textId="77777777" w:rsidR="00DD6D54" w:rsidRPr="002E48CF" w:rsidRDefault="00DD6D54" w:rsidP="00DD6D54">
      <w:pPr>
        <w:spacing w:before="200" w:after="200" w:line="276" w:lineRule="auto"/>
        <w:ind w:left="360"/>
        <w:jc w:val="both"/>
        <w:rPr>
          <w:rFonts w:ascii="Times New Roman" w:eastAsia="Arial" w:hAnsi="Times New Roman"/>
          <w:b/>
          <w:bCs/>
          <w:sz w:val="22"/>
          <w:szCs w:val="22"/>
        </w:rPr>
      </w:pPr>
      <w:r w:rsidRPr="1211BDFB">
        <w:rPr>
          <w:rFonts w:ascii="Times New Roman" w:hAnsi="Times New Roman"/>
          <w:b/>
          <w:bCs/>
          <w:caps/>
          <w:sz w:val="22"/>
          <w:szCs w:val="22"/>
        </w:rPr>
        <w:t>ACCESSIBILITY</w:t>
      </w:r>
      <w:r>
        <w:rPr>
          <w:rFonts w:ascii="Times New Roman" w:hAnsi="Times New Roman"/>
          <w:b/>
          <w:bCs/>
          <w:caps/>
          <w:sz w:val="22"/>
          <w:szCs w:val="22"/>
        </w:rPr>
        <w:t xml:space="preserve"> </w:t>
      </w:r>
      <w:r w:rsidRPr="1211BDFB">
        <w:rPr>
          <w:rFonts w:ascii="Times New Roman" w:eastAsia="Arial" w:hAnsi="Times New Roman"/>
          <w:b/>
          <w:bCs/>
          <w:position w:val="-1"/>
          <w:sz w:val="22"/>
          <w:szCs w:val="22"/>
        </w:rPr>
        <w:t>(24 CFR 570.614)</w:t>
      </w:r>
      <w:r w:rsidRPr="1211BDFB">
        <w:rPr>
          <w:rFonts w:ascii="Times New Roman" w:hAnsi="Times New Roman"/>
          <w:b/>
          <w:bCs/>
          <w:caps/>
          <w:sz w:val="22"/>
          <w:szCs w:val="22"/>
        </w:rPr>
        <w:t xml:space="preserve"> </w:t>
      </w:r>
      <w:r>
        <w:rPr>
          <w:rFonts w:ascii="Times New Roman" w:hAnsi="Times New Roman"/>
          <w:b/>
          <w:bCs/>
          <w:caps/>
          <w:sz w:val="22"/>
          <w:szCs w:val="22"/>
        </w:rPr>
        <w:t>&amp; SECTION 5</w:t>
      </w:r>
      <w:r w:rsidRPr="002E48CF">
        <w:rPr>
          <w:rFonts w:ascii="Times New Roman" w:hAnsi="Times New Roman"/>
          <w:b/>
          <w:bCs/>
          <w:caps/>
          <w:sz w:val="22"/>
          <w:szCs w:val="22"/>
        </w:rPr>
        <w:t>04 (</w:t>
      </w:r>
      <w:r w:rsidRPr="002E48CF">
        <w:rPr>
          <w:rFonts w:ascii="Times New Roman" w:eastAsia="Arial" w:hAnsi="Times New Roman"/>
          <w:b/>
          <w:sz w:val="22"/>
          <w:szCs w:val="22"/>
        </w:rPr>
        <w:t>29 U.S.C. Section 794 and 24 CFR Parts 8‐9)</w:t>
      </w:r>
    </w:p>
    <w:p w14:paraId="427ACB4A" w14:textId="77777777" w:rsidR="00DD6D54" w:rsidRDefault="00DD6D54" w:rsidP="00DD6D54">
      <w:pPr>
        <w:spacing w:before="200" w:after="200" w:line="276" w:lineRule="auto"/>
        <w:ind w:left="360"/>
        <w:jc w:val="both"/>
        <w:rPr>
          <w:rFonts w:ascii="Times New Roman" w:eastAsia="Arial" w:hAnsi="Times New Roman"/>
          <w:position w:val="-1"/>
          <w:sz w:val="22"/>
          <w:szCs w:val="22"/>
        </w:rPr>
      </w:pPr>
      <w:r w:rsidRPr="004F3D9D">
        <w:rPr>
          <w:rFonts w:ascii="Times New Roman" w:eastAsia="Arial" w:hAnsi="Times New Roman"/>
          <w:position w:val="-1"/>
          <w:sz w:val="22"/>
          <w:szCs w:val="22"/>
        </w:rPr>
        <w:t xml:space="preserve">Contractor </w:t>
      </w:r>
      <w:r>
        <w:rPr>
          <w:rFonts w:ascii="Times New Roman" w:eastAsia="Arial" w:hAnsi="Times New Roman"/>
          <w:position w:val="-1"/>
          <w:sz w:val="22"/>
          <w:szCs w:val="22"/>
        </w:rPr>
        <w:t>shall comply</w:t>
      </w:r>
      <w:r w:rsidRPr="004F3D9D">
        <w:rPr>
          <w:rFonts w:ascii="Times New Roman" w:eastAsia="Arial" w:hAnsi="Times New Roman"/>
          <w:position w:val="-1"/>
          <w:sz w:val="22"/>
          <w:szCs w:val="22"/>
        </w:rPr>
        <w:t xml:space="preserve"> with all federal, state and local laws and regulations</w:t>
      </w:r>
      <w:r>
        <w:rPr>
          <w:rFonts w:ascii="Times New Roman" w:eastAsia="Arial" w:hAnsi="Times New Roman"/>
          <w:position w:val="-1"/>
          <w:sz w:val="22"/>
          <w:szCs w:val="22"/>
        </w:rPr>
        <w:t xml:space="preserve"> which prohibit</w:t>
      </w:r>
      <w:r w:rsidRPr="00B61603">
        <w:rPr>
          <w:rFonts w:ascii="Times New Roman" w:eastAsia="Arial" w:hAnsi="Times New Roman"/>
          <w:position w:val="-1"/>
          <w:sz w:val="22"/>
          <w:szCs w:val="22"/>
        </w:rPr>
        <w:t xml:space="preserve"> recipients of federal funding from discriminating against individuals with disabilities</w:t>
      </w:r>
      <w:r>
        <w:rPr>
          <w:rFonts w:ascii="Times New Roman" w:eastAsia="Arial" w:hAnsi="Times New Roman"/>
          <w:position w:val="-1"/>
          <w:sz w:val="22"/>
          <w:szCs w:val="22"/>
        </w:rPr>
        <w:t xml:space="preserve">. Applicable laws and regulations with which Contractor shall comply shall include, </w:t>
      </w:r>
      <w:r w:rsidRPr="004F3D9D">
        <w:rPr>
          <w:rFonts w:ascii="Times New Roman" w:eastAsia="Arial" w:hAnsi="Times New Roman"/>
          <w:position w:val="-1"/>
          <w:sz w:val="22"/>
          <w:szCs w:val="22"/>
        </w:rPr>
        <w:t>but</w:t>
      </w:r>
      <w:r>
        <w:rPr>
          <w:rFonts w:ascii="Times New Roman" w:eastAsia="Arial" w:hAnsi="Times New Roman"/>
          <w:position w:val="-1"/>
          <w:sz w:val="22"/>
          <w:szCs w:val="22"/>
        </w:rPr>
        <w:t xml:space="preserve"> are</w:t>
      </w:r>
      <w:r w:rsidRPr="004F3D9D">
        <w:rPr>
          <w:rFonts w:ascii="Times New Roman" w:eastAsia="Arial" w:hAnsi="Times New Roman"/>
          <w:position w:val="-1"/>
          <w:sz w:val="22"/>
          <w:szCs w:val="22"/>
        </w:rPr>
        <w:t xml:space="preserve"> not limited to, the following: </w:t>
      </w:r>
      <w:r w:rsidRPr="00B61603">
        <w:rPr>
          <w:rFonts w:ascii="Times New Roman" w:eastAsia="Arial" w:hAnsi="Times New Roman"/>
          <w:sz w:val="22"/>
          <w:szCs w:val="22"/>
        </w:rPr>
        <w:t>Section 504 of the Rehabilitation Act of 1973 (29 U.S.C. Section</w:t>
      </w:r>
      <w:r>
        <w:rPr>
          <w:rFonts w:ascii="Times New Roman" w:eastAsia="Arial" w:hAnsi="Times New Roman"/>
          <w:sz w:val="22"/>
          <w:szCs w:val="22"/>
        </w:rPr>
        <w:t xml:space="preserve"> </w:t>
      </w:r>
      <w:r w:rsidRPr="00B61603">
        <w:rPr>
          <w:rFonts w:ascii="Times New Roman" w:eastAsia="Arial" w:hAnsi="Times New Roman"/>
          <w:sz w:val="22"/>
          <w:szCs w:val="22"/>
        </w:rPr>
        <w:t>794) (24 CFR Parts 8‐9);</w:t>
      </w:r>
      <w:r>
        <w:rPr>
          <w:rFonts w:ascii="Times New Roman" w:eastAsia="Arial" w:hAnsi="Times New Roman"/>
          <w:position w:val="-1"/>
          <w:sz w:val="22"/>
          <w:szCs w:val="22"/>
        </w:rPr>
        <w:t xml:space="preserve"> </w:t>
      </w:r>
      <w:r w:rsidRPr="00BB4579">
        <w:rPr>
          <w:rFonts w:ascii="Times New Roman" w:eastAsia="Arial" w:hAnsi="Times New Roman"/>
          <w:position w:val="-1"/>
          <w:sz w:val="22"/>
          <w:szCs w:val="22"/>
        </w:rPr>
        <w:t>Title II of the Americans with Disabilities Act of 1990</w:t>
      </w:r>
      <w:r>
        <w:rPr>
          <w:rFonts w:ascii="Times New Roman" w:eastAsia="Arial" w:hAnsi="Times New Roman"/>
          <w:position w:val="-1"/>
          <w:sz w:val="22"/>
          <w:szCs w:val="22"/>
        </w:rPr>
        <w:t xml:space="preserve">; </w:t>
      </w:r>
      <w:r w:rsidRPr="004F3D9D">
        <w:rPr>
          <w:rFonts w:ascii="Times New Roman" w:eastAsia="Arial" w:hAnsi="Times New Roman"/>
          <w:position w:val="-1"/>
          <w:sz w:val="22"/>
          <w:szCs w:val="22"/>
        </w:rPr>
        <w:t>the Architectural Barriers Ac</w:t>
      </w:r>
      <w:r>
        <w:rPr>
          <w:rFonts w:ascii="Times New Roman" w:eastAsia="Arial" w:hAnsi="Times New Roman"/>
          <w:position w:val="-1"/>
          <w:sz w:val="22"/>
          <w:szCs w:val="22"/>
        </w:rPr>
        <w:t>t of 1968 (42 U.S.C. 4151-4157);</w:t>
      </w:r>
      <w:r w:rsidRPr="004F3D9D">
        <w:rPr>
          <w:rFonts w:ascii="Times New Roman" w:eastAsia="Arial" w:hAnsi="Times New Roman"/>
          <w:position w:val="-1"/>
          <w:sz w:val="22"/>
          <w:szCs w:val="22"/>
        </w:rPr>
        <w:t xml:space="preserve"> the Uniform Federal Accessibility Standards (Appendix A to 24 CFR Part 40 and Appendix A to 41 CFR Part 101-19, subpart 101-19.6)</w:t>
      </w:r>
      <w:r>
        <w:rPr>
          <w:rFonts w:ascii="Times New Roman" w:eastAsia="Arial" w:hAnsi="Times New Roman"/>
          <w:position w:val="-1"/>
          <w:sz w:val="22"/>
          <w:szCs w:val="22"/>
        </w:rPr>
        <w:t>;</w:t>
      </w:r>
      <w:r w:rsidRPr="004F3D9D">
        <w:rPr>
          <w:rFonts w:ascii="Times New Roman" w:eastAsia="Arial" w:hAnsi="Times New Roman"/>
          <w:position w:val="-1"/>
          <w:sz w:val="22"/>
          <w:szCs w:val="22"/>
        </w:rPr>
        <w:t xml:space="preserve"> the Americans with Disabilities Act (42 U.S.C. 12131; 47 U.S.C. 155, 201, 218, and 225)</w:t>
      </w:r>
      <w:r>
        <w:rPr>
          <w:rFonts w:ascii="Times New Roman" w:eastAsia="Arial" w:hAnsi="Times New Roman"/>
          <w:position w:val="-1"/>
          <w:sz w:val="22"/>
          <w:szCs w:val="22"/>
        </w:rPr>
        <w:t xml:space="preserve">; </w:t>
      </w:r>
      <w:r w:rsidRPr="00B61603">
        <w:rPr>
          <w:rFonts w:ascii="Times New Roman" w:eastAsia="Arial" w:hAnsi="Times New Roman"/>
          <w:sz w:val="22"/>
          <w:szCs w:val="22"/>
        </w:rPr>
        <w:t xml:space="preserve">Texas Administrative Code, Title 10, Chapter 60, Subchapter (B) </w:t>
      </w:r>
      <w:r w:rsidRPr="004F3D9D">
        <w:rPr>
          <w:rFonts w:ascii="Times New Roman" w:eastAsia="Arial" w:hAnsi="Times New Roman"/>
          <w:position w:val="-1"/>
          <w:sz w:val="22"/>
          <w:szCs w:val="22"/>
        </w:rPr>
        <w:t>the Texas Arc</w:t>
      </w:r>
      <w:r>
        <w:rPr>
          <w:rFonts w:ascii="Times New Roman" w:eastAsia="Arial" w:hAnsi="Times New Roman"/>
          <w:position w:val="-1"/>
          <w:sz w:val="22"/>
          <w:szCs w:val="22"/>
        </w:rPr>
        <w:t xml:space="preserve">hitectural Barriers Act (TABA); </w:t>
      </w:r>
      <w:r w:rsidRPr="004F3D9D">
        <w:rPr>
          <w:rFonts w:ascii="Times New Roman" w:eastAsia="Arial" w:hAnsi="Times New Roman"/>
          <w:position w:val="-1"/>
          <w:sz w:val="22"/>
          <w:szCs w:val="22"/>
        </w:rPr>
        <w:t>the Ar</w:t>
      </w:r>
      <w:r>
        <w:rPr>
          <w:rFonts w:ascii="Times New Roman" w:eastAsia="Arial" w:hAnsi="Times New Roman"/>
          <w:position w:val="-1"/>
          <w:sz w:val="22"/>
          <w:szCs w:val="22"/>
        </w:rPr>
        <w:t>chitectural Barriers (AB) Rules;</w:t>
      </w:r>
      <w:r w:rsidRPr="004F3D9D">
        <w:rPr>
          <w:rFonts w:ascii="Times New Roman" w:eastAsia="Arial" w:hAnsi="Times New Roman"/>
          <w:position w:val="-1"/>
          <w:sz w:val="22"/>
          <w:szCs w:val="22"/>
        </w:rPr>
        <w:t xml:space="preserve"> and the Texas Accessibility Standards (TAS).</w:t>
      </w:r>
      <w:r>
        <w:rPr>
          <w:rFonts w:ascii="Times New Roman" w:eastAsia="Arial" w:hAnsi="Times New Roman"/>
          <w:position w:val="-1"/>
          <w:sz w:val="22"/>
          <w:szCs w:val="22"/>
        </w:rPr>
        <w:t xml:space="preserve"> </w:t>
      </w:r>
    </w:p>
    <w:p w14:paraId="7BD5A215" w14:textId="77777777" w:rsidR="00DD6D54" w:rsidRPr="004F3D9D" w:rsidRDefault="00DD6D54" w:rsidP="00DD6D54">
      <w:pPr>
        <w:spacing w:before="200" w:after="200" w:line="276" w:lineRule="auto"/>
        <w:ind w:left="360"/>
        <w:jc w:val="both"/>
        <w:rPr>
          <w:rFonts w:ascii="Times New Roman" w:hAnsi="Times New Roman"/>
          <w:caps/>
          <w:sz w:val="22"/>
          <w:szCs w:val="22"/>
        </w:rPr>
      </w:pPr>
      <w:r w:rsidRPr="1211BDFB">
        <w:rPr>
          <w:rFonts w:ascii="Times New Roman" w:hAnsi="Times New Roman"/>
          <w:b/>
          <w:bCs/>
          <w:caps/>
          <w:sz w:val="22"/>
          <w:szCs w:val="22"/>
        </w:rPr>
        <w:t>Byrd Anti-Lobbying AGREEMENT (2 CFR 200 AP</w:t>
      </w:r>
      <w:r>
        <w:rPr>
          <w:rFonts w:ascii="Times New Roman" w:hAnsi="Times New Roman"/>
          <w:b/>
          <w:bCs/>
          <w:caps/>
          <w:sz w:val="22"/>
          <w:szCs w:val="22"/>
        </w:rPr>
        <w:t>PENDIX II (J</w:t>
      </w:r>
      <w:r w:rsidRPr="1211BDFB">
        <w:rPr>
          <w:rFonts w:ascii="Times New Roman" w:hAnsi="Times New Roman"/>
          <w:b/>
          <w:bCs/>
          <w:caps/>
          <w:sz w:val="22"/>
          <w:szCs w:val="22"/>
        </w:rPr>
        <w:t>) and 24 CFR 570.303)</w:t>
      </w:r>
    </w:p>
    <w:p w14:paraId="4DB7F56A" w14:textId="77777777" w:rsidR="00DD6D54" w:rsidRPr="004F3D9D" w:rsidRDefault="00DD6D54" w:rsidP="00DD6D54">
      <w:pPr>
        <w:spacing w:before="200" w:after="200" w:line="276" w:lineRule="auto"/>
        <w:ind w:left="360"/>
        <w:jc w:val="both"/>
        <w:rPr>
          <w:rFonts w:ascii="Times New Roman" w:hAnsi="Times New Roman"/>
          <w:sz w:val="22"/>
          <w:szCs w:val="22"/>
        </w:rPr>
      </w:pPr>
      <w:r w:rsidRPr="1211BDFB">
        <w:rPr>
          <w:rFonts w:ascii="Times New Roman" w:hAnsi="Times New Roman"/>
          <w:sz w:val="22"/>
          <w:szCs w:val="22"/>
        </w:rPr>
        <w:t xml:space="preserve">Pursuant to 31 U.S.C.A. § 1352 (2003), if at any time during the contract term funding to contract exceeds $100,000.00, the Contractor shall file with the County the Federal Standard Form LLL titled “Disclosure Form to Report Lobbying.” </w:t>
      </w:r>
    </w:p>
    <w:p w14:paraId="254ED207" w14:textId="669BE043" w:rsidR="00DD6D54" w:rsidRPr="004F3D9D" w:rsidRDefault="00DD6D54" w:rsidP="00DD6D54">
      <w:pPr>
        <w:spacing w:before="200" w:after="200" w:line="276" w:lineRule="auto"/>
        <w:ind w:left="360"/>
        <w:jc w:val="both"/>
        <w:rPr>
          <w:rFonts w:ascii="Times New Roman" w:hAnsi="Times New Roman"/>
          <w:sz w:val="22"/>
          <w:szCs w:val="22"/>
        </w:rPr>
      </w:pPr>
      <w:r w:rsidRPr="6F7FD60C">
        <w:rPr>
          <w:rFonts w:ascii="Times New Roman" w:hAnsi="Times New Roman"/>
          <w:sz w:val="22"/>
          <w:szCs w:val="22"/>
        </w:rPr>
        <w:t xml:space="preserve">Each tier certifies to the tier above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1352. Each tier must also disclose </w:t>
      </w:r>
      <w:r w:rsidRPr="6F7FD60C">
        <w:rPr>
          <w:rFonts w:ascii="Times New Roman" w:hAnsi="Times New Roman"/>
          <w:sz w:val="22"/>
          <w:szCs w:val="22"/>
        </w:rPr>
        <w:lastRenderedPageBreak/>
        <w:t xml:space="preserve">any lobbying with non-Federal funds that takes place in connection with obtaining any Federal award. Such disclosures are forwarded from tier to tier up to the non-federal award. </w:t>
      </w:r>
    </w:p>
    <w:p w14:paraId="5BDC2D4F" w14:textId="44D2FC03" w:rsidR="00DD6D54" w:rsidRDefault="00DD6D54" w:rsidP="00DD6D54">
      <w:pPr>
        <w:tabs>
          <w:tab w:val="left" w:pos="-720"/>
        </w:tabs>
        <w:suppressAutoHyphens/>
        <w:spacing w:before="200" w:after="200" w:line="276" w:lineRule="auto"/>
        <w:ind w:left="360"/>
        <w:jc w:val="both"/>
        <w:outlineLvl w:val="0"/>
        <w:rPr>
          <w:rFonts w:ascii="Times New Roman" w:hAnsi="Times New Roman"/>
          <w:b/>
          <w:bCs/>
          <w:sz w:val="22"/>
          <w:szCs w:val="22"/>
        </w:rPr>
      </w:pPr>
      <w:r>
        <w:rPr>
          <w:rFonts w:ascii="Times New Roman" w:hAnsi="Times New Roman"/>
          <w:b/>
          <w:bCs/>
          <w:sz w:val="22"/>
          <w:szCs w:val="22"/>
        </w:rPr>
        <w:t xml:space="preserve">CIVIL RIGHTS ACT OF 1964 (Title VI </w:t>
      </w:r>
      <w:r w:rsidRPr="005D4468">
        <w:rPr>
          <w:rFonts w:ascii="Times New Roman" w:hAnsi="Times New Roman"/>
          <w:b/>
          <w:bCs/>
          <w:sz w:val="22"/>
          <w:szCs w:val="22"/>
        </w:rPr>
        <w:t>42 U.S.C. § 2000d</w:t>
      </w:r>
      <w:r>
        <w:rPr>
          <w:rFonts w:ascii="Times New Roman" w:hAnsi="Times New Roman"/>
          <w:b/>
          <w:bCs/>
          <w:sz w:val="22"/>
          <w:szCs w:val="22"/>
        </w:rPr>
        <w:t>)</w:t>
      </w:r>
    </w:p>
    <w:p w14:paraId="28C31694" w14:textId="77777777" w:rsidR="00DD6D54" w:rsidRDefault="00DD6D54" w:rsidP="00DD6D54">
      <w:pPr>
        <w:tabs>
          <w:tab w:val="left" w:pos="-720"/>
        </w:tabs>
        <w:suppressAutoHyphens/>
        <w:spacing w:before="200" w:after="200" w:line="276" w:lineRule="auto"/>
        <w:ind w:left="360"/>
        <w:jc w:val="both"/>
        <w:outlineLvl w:val="0"/>
        <w:rPr>
          <w:rFonts w:ascii="Times New Roman" w:hAnsi="Times New Roman"/>
          <w:bCs/>
          <w:sz w:val="22"/>
          <w:szCs w:val="22"/>
        </w:rPr>
      </w:pPr>
      <w:r w:rsidRPr="005D4468">
        <w:rPr>
          <w:rFonts w:ascii="Times New Roman" w:hAnsi="Times New Roman"/>
          <w:bCs/>
          <w:sz w:val="22"/>
          <w:szCs w:val="22"/>
        </w:rPr>
        <w:t>Title VI of the Civil</w:t>
      </w:r>
      <w:r>
        <w:rPr>
          <w:rFonts w:ascii="Times New Roman" w:hAnsi="Times New Roman"/>
          <w:bCs/>
          <w:sz w:val="22"/>
          <w:szCs w:val="22"/>
        </w:rPr>
        <w:t xml:space="preserve"> Rights Act of 1964, </w:t>
      </w:r>
      <w:r w:rsidRPr="005D4468">
        <w:rPr>
          <w:rFonts w:ascii="Times New Roman" w:hAnsi="Times New Roman"/>
          <w:bCs/>
          <w:sz w:val="22"/>
          <w:szCs w:val="22"/>
        </w:rPr>
        <w:t>Section 109 of the Community Development Act of 1974,</w:t>
      </w:r>
      <w:r>
        <w:rPr>
          <w:rFonts w:ascii="Times New Roman" w:hAnsi="Times New Roman"/>
          <w:bCs/>
          <w:sz w:val="22"/>
          <w:szCs w:val="22"/>
        </w:rPr>
        <w:t xml:space="preserve"> </w:t>
      </w:r>
      <w:r w:rsidRPr="00000571">
        <w:rPr>
          <w:rFonts w:ascii="Times New Roman" w:hAnsi="Times New Roman"/>
          <w:bCs/>
          <w:sz w:val="22"/>
          <w:szCs w:val="22"/>
        </w:rPr>
        <w:t xml:space="preserve">Section 504 of the Rehabilitation Act of 1973 (29 U.S.C. Section </w:t>
      </w:r>
      <w:r>
        <w:rPr>
          <w:rFonts w:ascii="Times New Roman" w:hAnsi="Times New Roman"/>
          <w:bCs/>
          <w:sz w:val="22"/>
          <w:szCs w:val="22"/>
        </w:rPr>
        <w:t xml:space="preserve">794) (24 CFR Parts 8‐9), and </w:t>
      </w:r>
      <w:r w:rsidRPr="00000571">
        <w:rPr>
          <w:rFonts w:ascii="Times New Roman" w:hAnsi="Times New Roman"/>
          <w:bCs/>
          <w:sz w:val="22"/>
          <w:szCs w:val="22"/>
        </w:rPr>
        <w:t>the Americans with Disabilities Act of 1990</w:t>
      </w:r>
      <w:r>
        <w:rPr>
          <w:rFonts w:ascii="Times New Roman" w:hAnsi="Times New Roman"/>
          <w:bCs/>
          <w:sz w:val="22"/>
          <w:szCs w:val="22"/>
        </w:rPr>
        <w:t xml:space="preserve"> </w:t>
      </w:r>
      <w:r w:rsidRPr="00000571">
        <w:rPr>
          <w:rFonts w:ascii="Times New Roman" w:hAnsi="Times New Roman"/>
          <w:bCs/>
          <w:sz w:val="22"/>
          <w:szCs w:val="22"/>
        </w:rPr>
        <w:t>(42 U.S.C. 12131; 47 U.S.C. 155, 201, 218, and 225)</w:t>
      </w:r>
      <w:r>
        <w:rPr>
          <w:rFonts w:ascii="Times New Roman" w:hAnsi="Times New Roman"/>
          <w:bCs/>
          <w:sz w:val="22"/>
          <w:szCs w:val="22"/>
        </w:rPr>
        <w:t>,</w:t>
      </w:r>
      <w:r w:rsidRPr="00000571">
        <w:rPr>
          <w:rFonts w:ascii="Times New Roman" w:hAnsi="Times New Roman"/>
          <w:bCs/>
          <w:sz w:val="22"/>
          <w:szCs w:val="22"/>
        </w:rPr>
        <w:t xml:space="preserve"> </w:t>
      </w:r>
      <w:r w:rsidRPr="005D4468">
        <w:rPr>
          <w:rFonts w:ascii="Times New Roman" w:hAnsi="Times New Roman"/>
          <w:bCs/>
          <w:sz w:val="22"/>
          <w:szCs w:val="22"/>
        </w:rPr>
        <w:t xml:space="preserve">prohibits Contractors from excluding or denying individuals benefits or participation in this project on the basis of race, color, </w:t>
      </w:r>
      <w:r>
        <w:rPr>
          <w:rFonts w:ascii="Times New Roman" w:hAnsi="Times New Roman"/>
          <w:bCs/>
          <w:sz w:val="22"/>
          <w:szCs w:val="22"/>
        </w:rPr>
        <w:t xml:space="preserve">religion, </w:t>
      </w:r>
      <w:r w:rsidRPr="005D4468">
        <w:rPr>
          <w:rFonts w:ascii="Times New Roman" w:hAnsi="Times New Roman"/>
          <w:bCs/>
          <w:sz w:val="22"/>
          <w:szCs w:val="22"/>
        </w:rPr>
        <w:t>national origin</w:t>
      </w:r>
      <w:r>
        <w:rPr>
          <w:rFonts w:ascii="Times New Roman" w:hAnsi="Times New Roman"/>
          <w:bCs/>
          <w:sz w:val="22"/>
          <w:szCs w:val="22"/>
        </w:rPr>
        <w:t xml:space="preserve">, </w:t>
      </w:r>
      <w:r w:rsidRPr="005D4468">
        <w:rPr>
          <w:rFonts w:ascii="Times New Roman" w:hAnsi="Times New Roman"/>
          <w:bCs/>
          <w:sz w:val="22"/>
          <w:szCs w:val="22"/>
        </w:rPr>
        <w:t>sex</w:t>
      </w:r>
      <w:r>
        <w:rPr>
          <w:rFonts w:ascii="Times New Roman" w:hAnsi="Times New Roman"/>
          <w:bCs/>
          <w:sz w:val="22"/>
          <w:szCs w:val="22"/>
        </w:rPr>
        <w:t>, or disability</w:t>
      </w:r>
      <w:r w:rsidRPr="005D4468">
        <w:rPr>
          <w:rFonts w:ascii="Times New Roman" w:hAnsi="Times New Roman"/>
          <w:bCs/>
          <w:sz w:val="22"/>
          <w:szCs w:val="22"/>
        </w:rPr>
        <w:t xml:space="preserve">. The provisions require that no person in the United States shall on the ground of race, color, </w:t>
      </w:r>
      <w:r>
        <w:rPr>
          <w:rFonts w:ascii="Times New Roman" w:hAnsi="Times New Roman"/>
          <w:bCs/>
          <w:sz w:val="22"/>
          <w:szCs w:val="22"/>
        </w:rPr>
        <w:t xml:space="preserve">religion, </w:t>
      </w:r>
      <w:r w:rsidRPr="005D4468">
        <w:rPr>
          <w:rFonts w:ascii="Times New Roman" w:hAnsi="Times New Roman"/>
          <w:bCs/>
          <w:sz w:val="22"/>
          <w:szCs w:val="22"/>
        </w:rPr>
        <w:t>national origin</w:t>
      </w:r>
      <w:r>
        <w:rPr>
          <w:rFonts w:ascii="Times New Roman" w:hAnsi="Times New Roman"/>
          <w:bCs/>
          <w:sz w:val="22"/>
          <w:szCs w:val="22"/>
        </w:rPr>
        <w:t>,</w:t>
      </w:r>
      <w:r w:rsidRPr="005D4468">
        <w:rPr>
          <w:rFonts w:ascii="Times New Roman" w:hAnsi="Times New Roman"/>
          <w:bCs/>
          <w:sz w:val="22"/>
          <w:szCs w:val="22"/>
        </w:rPr>
        <w:t xml:space="preserve"> sex,</w:t>
      </w:r>
      <w:r>
        <w:rPr>
          <w:rFonts w:ascii="Times New Roman" w:hAnsi="Times New Roman"/>
          <w:bCs/>
          <w:sz w:val="22"/>
          <w:szCs w:val="22"/>
        </w:rPr>
        <w:t xml:space="preserve"> or disability</w:t>
      </w:r>
      <w:r w:rsidRPr="005D4468">
        <w:rPr>
          <w:rFonts w:ascii="Times New Roman" w:hAnsi="Times New Roman"/>
          <w:bCs/>
          <w:sz w:val="22"/>
          <w:szCs w:val="22"/>
        </w:rPr>
        <w:t xml:space="preserve"> be excluded from participation in, be denied the benefits of, or be subjected to discrimination under any program or activity funded in whole or in part with community development funds made available pursuant to these Acts. </w:t>
      </w:r>
    </w:p>
    <w:p w14:paraId="5F45EE4D" w14:textId="77777777" w:rsidR="00DD6D54" w:rsidRDefault="00DD6D54" w:rsidP="00DD6D54">
      <w:pPr>
        <w:tabs>
          <w:tab w:val="left" w:pos="-720"/>
        </w:tabs>
        <w:suppressAutoHyphens/>
        <w:spacing w:before="200" w:after="200" w:line="276" w:lineRule="auto"/>
        <w:ind w:left="360"/>
        <w:jc w:val="both"/>
        <w:outlineLvl w:val="0"/>
        <w:rPr>
          <w:rFonts w:ascii="Times New Roman" w:hAnsi="Times New Roman"/>
          <w:bCs/>
          <w:sz w:val="22"/>
          <w:szCs w:val="22"/>
        </w:rPr>
      </w:pPr>
      <w:r w:rsidRPr="005D4468">
        <w:rPr>
          <w:rFonts w:ascii="Times New Roman" w:hAnsi="Times New Roman"/>
          <w:bCs/>
          <w:sz w:val="22"/>
          <w:szCs w:val="22"/>
        </w:rPr>
        <w:t>For purposes of this Part “program or activity” is defined as any function conducted by an identifiable administrative unit of the recipient, or private Contractor receiving community development funds or loans from the recipient. “Funded in whole or in part with community development funds” means that community development finds in any amount in the form of grants or proceeds from HUD guaranteed loans have been transferred by the recipient or a subrecipient to an identifiable administrative unit and disbursed in a program or activity. A Contractor may not, under any program or activity to which the regulations of this Part may apply directly or through contractual or other arrangements, on the grounds of race, color, national origin, or sex:</w:t>
      </w:r>
    </w:p>
    <w:p w14:paraId="18D3E534" w14:textId="77777777" w:rsidR="00DD6D54" w:rsidRDefault="00DD6D54" w:rsidP="00BC1B3F">
      <w:pPr>
        <w:pStyle w:val="ListParagraph"/>
        <w:numPr>
          <w:ilvl w:val="0"/>
          <w:numId w:val="45"/>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5D4468">
        <w:rPr>
          <w:rFonts w:ascii="Times New Roman" w:hAnsi="Times New Roman"/>
          <w:bCs/>
          <w:sz w:val="22"/>
          <w:szCs w:val="22"/>
        </w:rPr>
        <w:t>Deny any facilities, services, financial aid or other benefits provided under the program or activity;</w:t>
      </w:r>
    </w:p>
    <w:p w14:paraId="140CBE94" w14:textId="77777777" w:rsidR="00DD6D54" w:rsidRDefault="00DD6D54" w:rsidP="00BC1B3F">
      <w:pPr>
        <w:pStyle w:val="ListParagraph"/>
        <w:numPr>
          <w:ilvl w:val="0"/>
          <w:numId w:val="45"/>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5D4468">
        <w:rPr>
          <w:rFonts w:ascii="Times New Roman" w:hAnsi="Times New Roman"/>
          <w:bCs/>
          <w:sz w:val="22"/>
          <w:szCs w:val="22"/>
        </w:rPr>
        <w:t>Provide any facilities, services, financial aid or other benefits, which are different, or are provided in a different form from that provided to others under the program or activity;</w:t>
      </w:r>
    </w:p>
    <w:p w14:paraId="47F80091" w14:textId="77777777" w:rsidR="00DD6D54" w:rsidRDefault="00DD6D54" w:rsidP="00BC1B3F">
      <w:pPr>
        <w:pStyle w:val="ListParagraph"/>
        <w:numPr>
          <w:ilvl w:val="0"/>
          <w:numId w:val="45"/>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5D4468">
        <w:rPr>
          <w:rFonts w:ascii="Times New Roman" w:hAnsi="Times New Roman"/>
          <w:bCs/>
          <w:sz w:val="22"/>
          <w:szCs w:val="22"/>
        </w:rPr>
        <w:t>Subject to segregated or separate treatment in any facility in, or in any matter of process related to receipt of any service or benefit under the program or activity;</w:t>
      </w:r>
    </w:p>
    <w:p w14:paraId="103A9B7D" w14:textId="77777777" w:rsidR="00DD6D54" w:rsidRDefault="00DD6D54" w:rsidP="00BC1B3F">
      <w:pPr>
        <w:pStyle w:val="ListParagraph"/>
        <w:numPr>
          <w:ilvl w:val="0"/>
          <w:numId w:val="45"/>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5D4468">
        <w:rPr>
          <w:rFonts w:ascii="Times New Roman" w:hAnsi="Times New Roman"/>
          <w:bCs/>
          <w:sz w:val="22"/>
          <w:szCs w:val="22"/>
        </w:rPr>
        <w:t>Restrict in any way access to, or in the enjoyment of any advantage or privilege enjoyed by others in connection with facilities, services, financial aid or other benefits under the program or activity;</w:t>
      </w:r>
    </w:p>
    <w:p w14:paraId="336BB199" w14:textId="77777777" w:rsidR="00DD6D54" w:rsidRDefault="00DD6D54" w:rsidP="00BC1B3F">
      <w:pPr>
        <w:pStyle w:val="ListParagraph"/>
        <w:numPr>
          <w:ilvl w:val="0"/>
          <w:numId w:val="45"/>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5D4468">
        <w:rPr>
          <w:rFonts w:ascii="Times New Roman" w:hAnsi="Times New Roman"/>
          <w:bCs/>
          <w:sz w:val="22"/>
          <w:szCs w:val="22"/>
        </w:rPr>
        <w:t>Treat an individual differently from others in determining whether the individual satisfies any admission, enrollment, eligibility, membership, or other requirement or condition which the individual must meet in order to be provided any facilities, services or other benefit provided under the program or activity; and</w:t>
      </w:r>
    </w:p>
    <w:p w14:paraId="45891459" w14:textId="77777777" w:rsidR="00DD6D54" w:rsidRPr="005D4468" w:rsidRDefault="00DD6D54" w:rsidP="00BC1B3F">
      <w:pPr>
        <w:pStyle w:val="ListParagraph"/>
        <w:numPr>
          <w:ilvl w:val="0"/>
          <w:numId w:val="45"/>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5D4468">
        <w:rPr>
          <w:rFonts w:ascii="Times New Roman" w:hAnsi="Times New Roman"/>
          <w:bCs/>
          <w:sz w:val="22"/>
          <w:szCs w:val="22"/>
        </w:rPr>
        <w:t>Deny an opportunity to participate in a program or activity as an employee.</w:t>
      </w:r>
    </w:p>
    <w:p w14:paraId="36DE6509" w14:textId="77777777" w:rsidR="00DD6D54" w:rsidRPr="004F3D9D" w:rsidRDefault="00DD6D54" w:rsidP="00DD6D54">
      <w:pPr>
        <w:tabs>
          <w:tab w:val="left" w:pos="-720"/>
        </w:tabs>
        <w:suppressAutoHyphens/>
        <w:spacing w:before="200" w:after="200" w:line="276" w:lineRule="auto"/>
        <w:ind w:left="360"/>
        <w:jc w:val="both"/>
        <w:outlineLvl w:val="0"/>
        <w:rPr>
          <w:rFonts w:ascii="Times New Roman" w:hAnsi="Times New Roman"/>
          <w:b/>
          <w:bCs/>
          <w:sz w:val="22"/>
          <w:szCs w:val="22"/>
        </w:rPr>
      </w:pPr>
      <w:r w:rsidRPr="1211BDFB">
        <w:rPr>
          <w:rFonts w:ascii="Times New Roman" w:hAnsi="Times New Roman"/>
          <w:b/>
          <w:bCs/>
          <w:sz w:val="22"/>
          <w:szCs w:val="22"/>
        </w:rPr>
        <w:t>CLEAN AIR ACT (2 CFR Appendix II to Part 200 (G))</w:t>
      </w:r>
    </w:p>
    <w:p w14:paraId="0CD6E7C9" w14:textId="77777777" w:rsidR="00DD6D54" w:rsidRDefault="00DD6D54" w:rsidP="00DD6D54">
      <w:pPr>
        <w:tabs>
          <w:tab w:val="left" w:pos="-720"/>
        </w:tabs>
        <w:suppressAutoHyphens/>
        <w:spacing w:before="200" w:after="200" w:line="276" w:lineRule="auto"/>
        <w:ind w:left="360"/>
        <w:jc w:val="both"/>
        <w:outlineLvl w:val="0"/>
        <w:rPr>
          <w:rFonts w:ascii="Times New Roman" w:hAnsi="Times New Roman"/>
          <w:sz w:val="22"/>
          <w:szCs w:val="22"/>
        </w:rPr>
      </w:pPr>
      <w:r w:rsidRPr="1211BDFB">
        <w:rPr>
          <w:rFonts w:ascii="Times New Roman" w:hAnsi="Times New Roman"/>
          <w:color w:val="000000" w:themeColor="text1"/>
          <w:sz w:val="22"/>
          <w:szCs w:val="22"/>
        </w:rPr>
        <w:t>Pursuant to 2 CFR Appendix II to Part 200 (G), if at any time during the contract term funding to contract exceed</w:t>
      </w:r>
      <w:r>
        <w:rPr>
          <w:rFonts w:ascii="Times New Roman" w:hAnsi="Times New Roman"/>
          <w:color w:val="000000" w:themeColor="text1"/>
          <w:sz w:val="22"/>
          <w:szCs w:val="22"/>
        </w:rPr>
        <w:t>s</w:t>
      </w:r>
      <w:r w:rsidRPr="1211BDFB">
        <w:rPr>
          <w:rFonts w:ascii="Times New Roman" w:hAnsi="Times New Roman"/>
          <w:color w:val="000000" w:themeColor="text1"/>
          <w:sz w:val="22"/>
          <w:szCs w:val="22"/>
        </w:rPr>
        <w:t xml:space="preserve"> $150,000, the Contractor </w:t>
      </w:r>
      <w:r>
        <w:rPr>
          <w:rFonts w:ascii="Times New Roman" w:hAnsi="Times New Roman"/>
          <w:color w:val="000000" w:themeColor="text1"/>
          <w:sz w:val="22"/>
          <w:szCs w:val="22"/>
        </w:rPr>
        <w:t>must</w:t>
      </w:r>
      <w:r w:rsidRPr="1211BDFB">
        <w:rPr>
          <w:rFonts w:ascii="Times New Roman" w:hAnsi="Times New Roman"/>
          <w:color w:val="000000" w:themeColor="text1"/>
          <w:sz w:val="22"/>
          <w:szCs w:val="22"/>
        </w:rPr>
        <w:t xml:space="preserve"> comply with</w:t>
      </w:r>
      <w:r>
        <w:rPr>
          <w:rFonts w:ascii="Times New Roman" w:hAnsi="Times New Roman"/>
          <w:color w:val="000000" w:themeColor="text1"/>
          <w:sz w:val="22"/>
          <w:szCs w:val="22"/>
        </w:rPr>
        <w:t xml:space="preserve"> </w:t>
      </w:r>
      <w:r w:rsidRPr="1211BDFB">
        <w:rPr>
          <w:rFonts w:ascii="Times New Roman" w:hAnsi="Times New Roman"/>
          <w:color w:val="000000" w:themeColor="text1"/>
          <w:sz w:val="22"/>
          <w:szCs w:val="22"/>
        </w:rPr>
        <w:t xml:space="preserve">all provisions of the </w:t>
      </w:r>
      <w:r w:rsidRPr="1211BDFB">
        <w:rPr>
          <w:rFonts w:ascii="Times New Roman" w:hAnsi="Times New Roman"/>
          <w:sz w:val="22"/>
          <w:szCs w:val="22"/>
        </w:rPr>
        <w:t>Clean Air Ac</w:t>
      </w:r>
      <w:r>
        <w:rPr>
          <w:rFonts w:ascii="Times New Roman" w:hAnsi="Times New Roman"/>
          <w:sz w:val="22"/>
          <w:szCs w:val="22"/>
        </w:rPr>
        <w:t>t (42 U.S.C. 85</w:t>
      </w:r>
      <w:r w:rsidRPr="006E5A60">
        <w:rPr>
          <w:rFonts w:ascii="Times New Roman" w:hAnsi="Times New Roman"/>
          <w:sz w:val="22"/>
          <w:szCs w:val="22"/>
        </w:rPr>
        <w:t>)</w:t>
      </w:r>
      <w:r>
        <w:rPr>
          <w:rFonts w:ascii="Times New Roman" w:hAnsi="Times New Roman"/>
          <w:sz w:val="22"/>
          <w:szCs w:val="22"/>
        </w:rPr>
        <w:t xml:space="preserve"> </w:t>
      </w:r>
      <w:r w:rsidRPr="1211BDFB">
        <w:rPr>
          <w:rFonts w:ascii="Times New Roman" w:hAnsi="Times New Roman"/>
          <w:sz w:val="22"/>
          <w:szCs w:val="22"/>
        </w:rPr>
        <w:t xml:space="preserve">and </w:t>
      </w:r>
      <w:r>
        <w:rPr>
          <w:rFonts w:ascii="Times New Roman" w:hAnsi="Times New Roman"/>
          <w:sz w:val="22"/>
          <w:szCs w:val="22"/>
        </w:rPr>
        <w:t xml:space="preserve">Section 308 of </w:t>
      </w:r>
      <w:r w:rsidRPr="1211BDFB">
        <w:rPr>
          <w:rFonts w:ascii="Times New Roman" w:hAnsi="Times New Roman"/>
          <w:sz w:val="22"/>
          <w:szCs w:val="22"/>
        </w:rPr>
        <w:t>the Federal Water Pollution Control Act (33 U.S.C. 1251-1387), as amended</w:t>
      </w:r>
      <w:r>
        <w:rPr>
          <w:rFonts w:ascii="Times New Roman" w:hAnsi="Times New Roman"/>
          <w:sz w:val="22"/>
          <w:szCs w:val="22"/>
        </w:rPr>
        <w:t xml:space="preserve">. </w:t>
      </w:r>
      <w:r w:rsidRPr="00E73D71">
        <w:rPr>
          <w:rFonts w:ascii="Times New Roman" w:hAnsi="Times New Roman"/>
          <w:sz w:val="22"/>
          <w:szCs w:val="22"/>
        </w:rPr>
        <w:t>Contractors secu</w:t>
      </w:r>
      <w:r>
        <w:rPr>
          <w:rFonts w:ascii="Times New Roman" w:hAnsi="Times New Roman"/>
          <w:sz w:val="22"/>
          <w:szCs w:val="22"/>
        </w:rPr>
        <w:t>ring a contract in excess of $15</w:t>
      </w:r>
      <w:r w:rsidRPr="00E73D71">
        <w:rPr>
          <w:rFonts w:ascii="Times New Roman" w:hAnsi="Times New Roman"/>
          <w:sz w:val="22"/>
          <w:szCs w:val="22"/>
        </w:rPr>
        <w:t xml:space="preserve">0,000.00 </w:t>
      </w:r>
      <w:r>
        <w:rPr>
          <w:rFonts w:ascii="Times New Roman" w:hAnsi="Times New Roman"/>
          <w:sz w:val="22"/>
          <w:szCs w:val="22"/>
        </w:rPr>
        <w:t>shall</w:t>
      </w:r>
      <w:r w:rsidRPr="00E73D71">
        <w:rPr>
          <w:rFonts w:ascii="Times New Roman" w:hAnsi="Times New Roman"/>
          <w:sz w:val="22"/>
          <w:szCs w:val="22"/>
        </w:rPr>
        <w:t xml:space="preserve"> not expend such funds by making use of subcontracting with facilities included on the Environmental Protection Agency List of Violating Facilities as per Section 306 of </w:t>
      </w:r>
      <w:r w:rsidRPr="00E73D71">
        <w:rPr>
          <w:rFonts w:ascii="Times New Roman" w:hAnsi="Times New Roman"/>
          <w:sz w:val="22"/>
          <w:szCs w:val="22"/>
        </w:rPr>
        <w:lastRenderedPageBreak/>
        <w:t>the Clean Air Act, Section 508 of The Clean Water Act, Executive Order 11738, and Environmental Protection Agency Regulations 40 CFR.</w:t>
      </w:r>
    </w:p>
    <w:p w14:paraId="2B86B182" w14:textId="77777777" w:rsidR="00DD6D54" w:rsidRPr="004F3D9D" w:rsidRDefault="00DD6D54" w:rsidP="00DD6D54">
      <w:pPr>
        <w:tabs>
          <w:tab w:val="left" w:pos="-720"/>
        </w:tabs>
        <w:suppressAutoHyphens/>
        <w:spacing w:before="200" w:after="200" w:line="276" w:lineRule="auto"/>
        <w:ind w:left="360"/>
        <w:jc w:val="both"/>
        <w:outlineLvl w:val="0"/>
        <w:rPr>
          <w:rFonts w:ascii="Times New Roman" w:hAnsi="Times New Roman"/>
          <w:sz w:val="22"/>
          <w:szCs w:val="22"/>
        </w:rPr>
      </w:pPr>
      <w:r w:rsidRPr="1211BDFB">
        <w:rPr>
          <w:rFonts w:ascii="Times New Roman" w:hAnsi="Times New Roman"/>
          <w:sz w:val="22"/>
          <w:szCs w:val="22"/>
        </w:rPr>
        <w:t xml:space="preserve">For any subcontractors under this contract receiving contracts in excess of $150,000 Contractor is required to include a provision that requires compliance with all applicable standards, orders or regulations issued pursuant to the Clean Air Act (42 U.S.C. </w:t>
      </w:r>
      <w:r>
        <w:rPr>
          <w:rFonts w:ascii="Times New Roman" w:hAnsi="Times New Roman"/>
          <w:sz w:val="22"/>
          <w:szCs w:val="22"/>
        </w:rPr>
        <w:t>85</w:t>
      </w:r>
      <w:r w:rsidRPr="1211BDFB">
        <w:rPr>
          <w:rFonts w:ascii="Times New Roman" w:hAnsi="Times New Roman"/>
          <w:sz w:val="22"/>
          <w:szCs w:val="22"/>
        </w:rPr>
        <w:t xml:space="preserve">) and </w:t>
      </w:r>
      <w:r>
        <w:rPr>
          <w:rFonts w:ascii="Times New Roman" w:hAnsi="Times New Roman"/>
          <w:sz w:val="22"/>
          <w:szCs w:val="22"/>
        </w:rPr>
        <w:t>Section 308</w:t>
      </w:r>
      <w:r w:rsidRPr="1211BDFB">
        <w:rPr>
          <w:rFonts w:ascii="Times New Roman" w:hAnsi="Times New Roman"/>
          <w:sz w:val="22"/>
          <w:szCs w:val="22"/>
        </w:rPr>
        <w:t xml:space="preserve"> Federal Water Pollution Control Act as amended (33 U.S.C. 1251-1387). Violations shall be reported to the Federal awarding agency and the Regional Office of the Environmental Protection Agency (EPA).</w:t>
      </w:r>
    </w:p>
    <w:p w14:paraId="69549780" w14:textId="77777777" w:rsidR="00DD6D54" w:rsidRPr="004F3D9D" w:rsidRDefault="00DD6D54" w:rsidP="00DD6D54">
      <w:pPr>
        <w:tabs>
          <w:tab w:val="left" w:pos="-720"/>
        </w:tabs>
        <w:suppressAutoHyphens/>
        <w:spacing w:before="200" w:after="200" w:line="276" w:lineRule="auto"/>
        <w:ind w:left="360"/>
        <w:jc w:val="both"/>
        <w:outlineLvl w:val="0"/>
        <w:rPr>
          <w:rFonts w:ascii="Times New Roman" w:hAnsi="Times New Roman"/>
          <w:sz w:val="22"/>
          <w:szCs w:val="22"/>
        </w:rPr>
      </w:pPr>
      <w:r w:rsidRPr="1211BDFB">
        <w:rPr>
          <w:rFonts w:ascii="Times New Roman" w:hAnsi="Times New Roman"/>
          <w:b/>
          <w:bCs/>
          <w:sz w:val="22"/>
          <w:szCs w:val="22"/>
        </w:rPr>
        <w:t>CONTRACT WORK HOURS AND SAFETY STANDARDS ACT (2 CFR Appendix II to Part 200 (E))</w:t>
      </w:r>
    </w:p>
    <w:p w14:paraId="6D44EA15" w14:textId="77777777" w:rsidR="00DD6D54" w:rsidRPr="004F3D9D" w:rsidRDefault="00DD6D54" w:rsidP="00DD6D54">
      <w:pPr>
        <w:tabs>
          <w:tab w:val="left" w:pos="-720"/>
        </w:tabs>
        <w:suppressAutoHyphens/>
        <w:spacing w:before="200" w:after="200" w:line="276" w:lineRule="auto"/>
        <w:ind w:left="360"/>
        <w:jc w:val="both"/>
        <w:outlineLvl w:val="0"/>
        <w:rPr>
          <w:rFonts w:ascii="Times New Roman" w:hAnsi="Times New Roman"/>
          <w:color w:val="000000" w:themeColor="text1"/>
          <w:sz w:val="22"/>
          <w:szCs w:val="22"/>
        </w:rPr>
      </w:pPr>
      <w:r w:rsidRPr="1211BDFB">
        <w:rPr>
          <w:rFonts w:ascii="Times New Roman" w:hAnsi="Times New Roman"/>
          <w:color w:val="000000" w:themeColor="text1"/>
          <w:sz w:val="22"/>
          <w:szCs w:val="22"/>
        </w:rPr>
        <w:t>Pursuant to 2 CFR 200 Appendix II (E), if at any time during the contract term funding to contract exceed</w:t>
      </w:r>
      <w:r>
        <w:rPr>
          <w:rFonts w:ascii="Times New Roman" w:hAnsi="Times New Roman"/>
          <w:color w:val="000000" w:themeColor="text1"/>
          <w:sz w:val="22"/>
          <w:szCs w:val="22"/>
        </w:rPr>
        <w:t>s</w:t>
      </w:r>
      <w:r w:rsidRPr="1211BDFB">
        <w:rPr>
          <w:rFonts w:ascii="Times New Roman" w:hAnsi="Times New Roman"/>
          <w:color w:val="000000" w:themeColor="text1"/>
          <w:sz w:val="22"/>
          <w:szCs w:val="22"/>
        </w:rPr>
        <w:t xml:space="preserve"> $100,000, the Contractor </w:t>
      </w:r>
      <w:r>
        <w:rPr>
          <w:rFonts w:ascii="Times New Roman" w:hAnsi="Times New Roman"/>
          <w:color w:val="000000" w:themeColor="text1"/>
          <w:sz w:val="22"/>
          <w:szCs w:val="22"/>
        </w:rPr>
        <w:t>must</w:t>
      </w:r>
      <w:r w:rsidRPr="1211BDFB">
        <w:rPr>
          <w:rFonts w:ascii="Times New Roman" w:hAnsi="Times New Roman"/>
          <w:color w:val="000000" w:themeColor="text1"/>
          <w:sz w:val="22"/>
          <w:szCs w:val="22"/>
        </w:rPr>
        <w:t xml:space="preserve"> comply with the Contract Work Hours and Safety Standards Act (40 U.S.C. 3701-3708). Where applicable, all contracts awarded in excess of $100,000 that involve the employment of mechanics or laborers must include a provision for compliance with 40 U.S.C. 3702 and 3704, as supplemented by Department of Labor regulations (29 CFR Part 5). Under 40 U.S.C. 3702 of the Act, each contractor must be required to compute the wages of every mechanic and laborer on the basis of a standard work week of 40 hours. Work in excess of the standard work week is permissible provided that the worker is compensated at a rate of not less than one and a half times the basic rate of pay for all hours worked in excess of 40 hours in the work week. The requirements of 40 U.S.C. 3704 are applicable to construction work and provide that no laborer or mechanic must be required to work in surroundings or under working conditions which are unsanitary, hazardous or dangerous. These requirements do not apply to the purchases of supplies or materials or articles ordinarily available on the open market, or contracts for transportation or transmission of intelligence</w:t>
      </w:r>
    </w:p>
    <w:p w14:paraId="07D506A4" w14:textId="77777777" w:rsidR="00DD6D54" w:rsidRPr="004F3D9D" w:rsidRDefault="00DD6D54" w:rsidP="00BC1B3F">
      <w:pPr>
        <w:pStyle w:val="ListParagraph"/>
        <w:numPr>
          <w:ilvl w:val="0"/>
          <w:numId w:val="15"/>
        </w:numPr>
        <w:tabs>
          <w:tab w:val="left" w:pos="-720"/>
        </w:tabs>
        <w:suppressAutoHyphens/>
        <w:spacing w:before="200" w:after="200" w:line="276" w:lineRule="auto"/>
        <w:contextualSpacing w:val="0"/>
        <w:jc w:val="both"/>
        <w:outlineLvl w:val="0"/>
        <w:rPr>
          <w:rFonts w:ascii="Times New Roman" w:hAnsi="Times New Roman"/>
          <w:sz w:val="22"/>
          <w:szCs w:val="22"/>
        </w:rPr>
      </w:pPr>
      <w:r w:rsidRPr="1211BDFB">
        <w:rPr>
          <w:rFonts w:ascii="Times New Roman" w:hAnsi="Times New Roman"/>
          <w:sz w:val="22"/>
          <w:szCs w:val="22"/>
          <w:u w:val="single"/>
        </w:rPr>
        <w:t>Overtime Requirements</w:t>
      </w:r>
      <w:r w:rsidRPr="1211BDFB">
        <w:rPr>
          <w:rFonts w:ascii="Times New Roman" w:hAnsi="Times New Roman"/>
          <w:sz w:val="22"/>
          <w:szCs w:val="22"/>
        </w:rPr>
        <w:t xml:space="preserve"> – 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 workweek.</w:t>
      </w:r>
    </w:p>
    <w:p w14:paraId="126C8158" w14:textId="77777777" w:rsidR="00DD6D54" w:rsidRPr="004F3D9D" w:rsidRDefault="00DD6D54" w:rsidP="00BC1B3F">
      <w:pPr>
        <w:pStyle w:val="ListParagraph"/>
        <w:numPr>
          <w:ilvl w:val="0"/>
          <w:numId w:val="15"/>
        </w:numPr>
        <w:tabs>
          <w:tab w:val="left" w:pos="-720"/>
        </w:tabs>
        <w:suppressAutoHyphens/>
        <w:spacing w:before="200" w:after="200" w:line="276" w:lineRule="auto"/>
        <w:contextualSpacing w:val="0"/>
        <w:jc w:val="both"/>
        <w:outlineLvl w:val="0"/>
        <w:rPr>
          <w:rFonts w:ascii="Times New Roman" w:hAnsi="Times New Roman"/>
          <w:sz w:val="22"/>
          <w:szCs w:val="22"/>
        </w:rPr>
      </w:pPr>
      <w:r w:rsidRPr="1211BDFB">
        <w:rPr>
          <w:rFonts w:ascii="Times New Roman" w:hAnsi="Times New Roman"/>
          <w:sz w:val="22"/>
          <w:szCs w:val="22"/>
          <w:u w:val="single"/>
        </w:rPr>
        <w:t>Violation; liability for unpaid wages; liquidated damages</w:t>
      </w:r>
      <w:r w:rsidRPr="1211BDFB">
        <w:rPr>
          <w:rFonts w:ascii="Times New Roman" w:hAnsi="Times New Roman"/>
          <w:sz w:val="22"/>
          <w:szCs w:val="22"/>
        </w:rPr>
        <w:t>. In the event of any violation of the clause set forth in paragraph (1) of this section the contractor and any subcontractor responsible therefore shall be liable for the unpaid wages. In addition, such contractor and subcontractor shall be liable to the United States (in the case of work done under contract for the District of Columbia or a territory, to such District or to such territory), for liquidated damages. Such liquidated damages shall be computed with respect to each individual laborer or mechanic, including watchmen and guards, employed in violation of the clause set forth in paragraph (1) of this section, in the sum of $10 for each calendar day on which such individual was required or permitted to work in excess of the standard workweek of forty hours without payment of the overtime wages required by the clause set forth in paragraph (1) of this section.</w:t>
      </w:r>
    </w:p>
    <w:p w14:paraId="67AAD68C" w14:textId="77777777" w:rsidR="00DD6D54" w:rsidRPr="004F3D9D" w:rsidRDefault="00DD6D54" w:rsidP="00BC1B3F">
      <w:pPr>
        <w:pStyle w:val="ListParagraph"/>
        <w:numPr>
          <w:ilvl w:val="0"/>
          <w:numId w:val="15"/>
        </w:numPr>
        <w:tabs>
          <w:tab w:val="left" w:pos="-720"/>
        </w:tabs>
        <w:suppressAutoHyphens/>
        <w:spacing w:before="200" w:after="200" w:line="276" w:lineRule="auto"/>
        <w:contextualSpacing w:val="0"/>
        <w:jc w:val="both"/>
        <w:outlineLvl w:val="0"/>
        <w:rPr>
          <w:rFonts w:ascii="Times New Roman" w:hAnsi="Times New Roman"/>
          <w:sz w:val="22"/>
          <w:szCs w:val="22"/>
        </w:rPr>
      </w:pPr>
      <w:r w:rsidRPr="1211BDFB">
        <w:rPr>
          <w:rFonts w:ascii="Times New Roman" w:hAnsi="Times New Roman"/>
          <w:sz w:val="22"/>
          <w:szCs w:val="22"/>
          <w:u w:val="single"/>
        </w:rPr>
        <w:t>Withholding for unpaid wages and liquidated damages</w:t>
      </w:r>
      <w:r w:rsidRPr="1211BDFB">
        <w:rPr>
          <w:rFonts w:ascii="Times New Roman" w:hAnsi="Times New Roman"/>
          <w:sz w:val="22"/>
          <w:szCs w:val="22"/>
        </w:rPr>
        <w:t xml:space="preserve">. The (write in the name of the Federal agency or the loan or grant recipient) shall upon its own action or upon written request of an authorized representative of the Department of Labor withhold or cause to be withheld, from any moneys payable on account of work performed by the contractor or subcontractor under any such contract or any other </w:t>
      </w:r>
      <w:r w:rsidRPr="1211BDFB">
        <w:rPr>
          <w:rFonts w:ascii="Times New Roman" w:hAnsi="Times New Roman"/>
          <w:sz w:val="22"/>
          <w:szCs w:val="22"/>
        </w:rPr>
        <w:lastRenderedPageBreak/>
        <w:t>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subcontractor for unpaid wages and liquidated damages as provided in the clause set forth in paragraph (2) of this section.</w:t>
      </w:r>
    </w:p>
    <w:p w14:paraId="1FF5A0F0" w14:textId="77777777" w:rsidR="00DD6D54" w:rsidRPr="004F3D9D" w:rsidRDefault="00DD6D54" w:rsidP="00BC1B3F">
      <w:pPr>
        <w:pStyle w:val="ListParagraph"/>
        <w:numPr>
          <w:ilvl w:val="0"/>
          <w:numId w:val="15"/>
        </w:numPr>
        <w:tabs>
          <w:tab w:val="left" w:pos="-720"/>
        </w:tabs>
        <w:suppressAutoHyphens/>
        <w:spacing w:before="200" w:after="200" w:line="276" w:lineRule="auto"/>
        <w:contextualSpacing w:val="0"/>
        <w:jc w:val="both"/>
        <w:outlineLvl w:val="0"/>
        <w:rPr>
          <w:rFonts w:ascii="Times New Roman" w:hAnsi="Times New Roman"/>
          <w:sz w:val="22"/>
          <w:szCs w:val="22"/>
        </w:rPr>
      </w:pPr>
      <w:r w:rsidRPr="1211BDFB">
        <w:rPr>
          <w:rFonts w:ascii="Times New Roman" w:hAnsi="Times New Roman"/>
          <w:sz w:val="22"/>
          <w:szCs w:val="22"/>
          <w:u w:val="single"/>
        </w:rPr>
        <w:t>Subcontracts</w:t>
      </w:r>
      <w:r w:rsidRPr="1211BDFB">
        <w:rPr>
          <w:rFonts w:ascii="Times New Roman" w:hAnsi="Times New Roman"/>
          <w:sz w:val="22"/>
          <w:szCs w:val="22"/>
        </w:rPr>
        <w:t>. The contractor or subcontractor shall insert in any subcontracts the clauses set forth in paragraph (1) through (4) of this section and also a clause requiring the subcontractors to include these clauses in any lower tier subcontracts. The prime contractor shall be responsible for compliance by any subcontractor or lower tier subcontractor with the clauses set forth in paragraphs (1) through (4) of this section.</w:t>
      </w:r>
    </w:p>
    <w:p w14:paraId="2D2BD621" w14:textId="77777777" w:rsidR="00DD6D54" w:rsidRPr="004F3D9D" w:rsidRDefault="00DD6D54" w:rsidP="00DD6D54">
      <w:pPr>
        <w:tabs>
          <w:tab w:val="left" w:pos="-720"/>
        </w:tabs>
        <w:suppressAutoHyphens/>
        <w:spacing w:before="200" w:after="200" w:line="276" w:lineRule="auto"/>
        <w:ind w:left="360"/>
        <w:jc w:val="both"/>
        <w:outlineLvl w:val="0"/>
        <w:rPr>
          <w:rFonts w:ascii="Times New Roman" w:hAnsi="Times New Roman"/>
          <w:b/>
          <w:bCs/>
          <w:sz w:val="22"/>
          <w:szCs w:val="22"/>
        </w:rPr>
      </w:pPr>
      <w:r w:rsidRPr="1211BDFB">
        <w:rPr>
          <w:rFonts w:ascii="Times New Roman" w:hAnsi="Times New Roman"/>
          <w:b/>
          <w:bCs/>
          <w:sz w:val="22"/>
          <w:szCs w:val="22"/>
        </w:rPr>
        <w:t>COPELAND “ANTI-KICKBACK” ACT (40 U.S.C. 3145)</w:t>
      </w:r>
    </w:p>
    <w:p w14:paraId="05C279A6" w14:textId="77777777" w:rsidR="00DD6D54" w:rsidRDefault="00DD6D54" w:rsidP="00DD6D54">
      <w:pPr>
        <w:tabs>
          <w:tab w:val="left" w:pos="-720"/>
        </w:tabs>
        <w:suppressAutoHyphens/>
        <w:spacing w:before="200" w:after="200" w:line="276" w:lineRule="auto"/>
        <w:ind w:left="360"/>
        <w:jc w:val="both"/>
        <w:outlineLvl w:val="0"/>
        <w:rPr>
          <w:rFonts w:ascii="Times New Roman" w:hAnsi="Times New Roman"/>
          <w:sz w:val="22"/>
          <w:szCs w:val="22"/>
        </w:rPr>
      </w:pPr>
      <w:bookmarkStart w:id="0" w:name="_Hlk532211421"/>
      <w:r w:rsidRPr="1211BDFB">
        <w:rPr>
          <w:rFonts w:ascii="Times New Roman" w:hAnsi="Times New Roman"/>
          <w:sz w:val="22"/>
          <w:szCs w:val="22"/>
        </w:rPr>
        <w:t xml:space="preserve">Pursuant to 2 CFR Appendix II to Part 200 (D), Contractor </w:t>
      </w:r>
      <w:r>
        <w:rPr>
          <w:rFonts w:ascii="Times New Roman" w:hAnsi="Times New Roman"/>
          <w:sz w:val="22"/>
          <w:szCs w:val="22"/>
        </w:rPr>
        <w:t>must</w:t>
      </w:r>
      <w:r w:rsidRPr="1211BDFB">
        <w:rPr>
          <w:rFonts w:ascii="Times New Roman" w:hAnsi="Times New Roman"/>
          <w:sz w:val="22"/>
          <w:szCs w:val="22"/>
        </w:rPr>
        <w:t xml:space="preserve"> comply with the provisions of the Copeland “Anti-Kickback” Act (40 U.S.C. 3145), as supplemented by Department of Labor regulations (29 CFR Part 3, “Contractors and Subcontractors on Public Building or Public Work Financed in Whole or in Part by Loans or Grants from the United States”). The Act provides that each vendor, contractor, subcontractor, or subrecipient shall be prohibited from inducing, by any means, any person employed in the construction, completion, or repair of public work, to give up any part of the compensation to which he or she is otherwise entitled. Contractor </w:t>
      </w:r>
      <w:r>
        <w:rPr>
          <w:rFonts w:ascii="Times New Roman" w:hAnsi="Times New Roman"/>
          <w:sz w:val="22"/>
          <w:szCs w:val="22"/>
        </w:rPr>
        <w:t xml:space="preserve">shall </w:t>
      </w:r>
      <w:r w:rsidRPr="1211BDFB">
        <w:rPr>
          <w:rFonts w:ascii="Times New Roman" w:hAnsi="Times New Roman"/>
          <w:sz w:val="22"/>
          <w:szCs w:val="22"/>
        </w:rPr>
        <w:t>include this provision in all contracts between itself and any subcontractors in connection with the services performed under this Contract. Harris County shall report all suspected or reported violations to the Federal awarding agency</w:t>
      </w:r>
      <w:bookmarkEnd w:id="0"/>
      <w:r w:rsidRPr="1211BDFB">
        <w:rPr>
          <w:rFonts w:ascii="Times New Roman" w:hAnsi="Times New Roman"/>
          <w:sz w:val="22"/>
          <w:szCs w:val="22"/>
        </w:rPr>
        <w:t xml:space="preserve">. </w:t>
      </w:r>
    </w:p>
    <w:p w14:paraId="10C177A0" w14:textId="77777777" w:rsidR="00DD6D54" w:rsidRDefault="00DD6D54" w:rsidP="00DD6D54">
      <w:pPr>
        <w:tabs>
          <w:tab w:val="left" w:pos="-720"/>
        </w:tabs>
        <w:suppressAutoHyphens/>
        <w:spacing w:before="200" w:line="276" w:lineRule="auto"/>
        <w:ind w:left="360"/>
        <w:jc w:val="both"/>
        <w:outlineLvl w:val="0"/>
        <w:rPr>
          <w:rFonts w:ascii="Times New Roman" w:hAnsi="Times New Roman"/>
          <w:b/>
          <w:bCs/>
          <w:sz w:val="22"/>
          <w:szCs w:val="22"/>
        </w:rPr>
      </w:pPr>
      <w:r>
        <w:rPr>
          <w:rFonts w:ascii="Times New Roman" w:hAnsi="Times New Roman"/>
          <w:b/>
          <w:bCs/>
          <w:sz w:val="22"/>
          <w:szCs w:val="22"/>
        </w:rPr>
        <w:t>COST PLUS CONTRACTING PROHIBITED (2 CFR 200.323(D))</w:t>
      </w:r>
    </w:p>
    <w:p w14:paraId="6916EFF1" w14:textId="77777777" w:rsidR="00DD6D54" w:rsidRDefault="00DD6D54" w:rsidP="00DD6D54">
      <w:pPr>
        <w:tabs>
          <w:tab w:val="left" w:pos="-720"/>
        </w:tabs>
        <w:suppressAutoHyphens/>
        <w:spacing w:before="200" w:line="276" w:lineRule="auto"/>
        <w:ind w:left="360"/>
        <w:jc w:val="both"/>
        <w:outlineLvl w:val="0"/>
        <w:rPr>
          <w:rFonts w:ascii="Times New Roman" w:hAnsi="Times New Roman"/>
          <w:bCs/>
          <w:sz w:val="22"/>
          <w:szCs w:val="22"/>
        </w:rPr>
      </w:pPr>
      <w:r w:rsidRPr="00272C58">
        <w:rPr>
          <w:rFonts w:ascii="Times New Roman" w:hAnsi="Times New Roman"/>
          <w:bCs/>
          <w:sz w:val="22"/>
          <w:szCs w:val="22"/>
        </w:rPr>
        <w:t xml:space="preserve">Cost-plus-a-percentage-of-cost (CPPC) contracts are prohibited by 2 CFR 200.323(d). </w:t>
      </w:r>
      <w:r w:rsidRPr="00F8704B">
        <w:rPr>
          <w:rFonts w:ascii="Times New Roman" w:hAnsi="Times New Roman"/>
          <w:bCs/>
          <w:sz w:val="22"/>
          <w:szCs w:val="22"/>
        </w:rPr>
        <w:t>The cost plus a percentage of cost and percentage of construction cost</w:t>
      </w:r>
      <w:r>
        <w:rPr>
          <w:rFonts w:ascii="Times New Roman" w:hAnsi="Times New Roman"/>
          <w:bCs/>
          <w:sz w:val="22"/>
          <w:szCs w:val="22"/>
        </w:rPr>
        <w:t xml:space="preserve"> </w:t>
      </w:r>
      <w:r w:rsidRPr="00F8704B">
        <w:rPr>
          <w:rFonts w:ascii="Times New Roman" w:hAnsi="Times New Roman"/>
          <w:bCs/>
          <w:sz w:val="22"/>
          <w:szCs w:val="22"/>
        </w:rPr>
        <w:t xml:space="preserve">methods of contracting must </w:t>
      </w:r>
      <w:r>
        <w:rPr>
          <w:rFonts w:ascii="Times New Roman" w:hAnsi="Times New Roman"/>
          <w:bCs/>
          <w:sz w:val="22"/>
          <w:szCs w:val="22"/>
        </w:rPr>
        <w:t xml:space="preserve">never be used, including in subcontracts and third-party contracts. </w:t>
      </w:r>
      <w:r w:rsidRPr="00272C58">
        <w:rPr>
          <w:rFonts w:ascii="Times New Roman" w:hAnsi="Times New Roman"/>
          <w:bCs/>
          <w:sz w:val="22"/>
          <w:szCs w:val="22"/>
        </w:rPr>
        <w:t>A cost-plus contract is one that is structured to pay the contractor</w:t>
      </w:r>
      <w:r>
        <w:rPr>
          <w:rFonts w:ascii="Times New Roman" w:hAnsi="Times New Roman"/>
          <w:bCs/>
          <w:sz w:val="22"/>
          <w:szCs w:val="22"/>
        </w:rPr>
        <w:t xml:space="preserve"> or subcontractor</w:t>
      </w:r>
      <w:r w:rsidRPr="00272C58">
        <w:rPr>
          <w:rFonts w:ascii="Times New Roman" w:hAnsi="Times New Roman"/>
          <w:bCs/>
          <w:sz w:val="22"/>
          <w:szCs w:val="22"/>
        </w:rPr>
        <w:t xml:space="preserve"> their actual costs incurred</w:t>
      </w:r>
      <w:r>
        <w:rPr>
          <w:rFonts w:ascii="Times New Roman" w:hAnsi="Times New Roman"/>
          <w:bCs/>
          <w:sz w:val="22"/>
          <w:szCs w:val="22"/>
        </w:rPr>
        <w:t xml:space="preserve">, </w:t>
      </w:r>
      <w:r w:rsidRPr="00272C58">
        <w:rPr>
          <w:rFonts w:ascii="Times New Roman" w:hAnsi="Times New Roman"/>
          <w:bCs/>
          <w:sz w:val="22"/>
          <w:szCs w:val="22"/>
        </w:rPr>
        <w:t>plus a fixed percent for profit or overhead.</w:t>
      </w:r>
      <w:r>
        <w:rPr>
          <w:rFonts w:ascii="Times New Roman" w:hAnsi="Times New Roman"/>
          <w:bCs/>
          <w:sz w:val="22"/>
          <w:szCs w:val="22"/>
        </w:rPr>
        <w:t xml:space="preserve"> </w:t>
      </w:r>
    </w:p>
    <w:p w14:paraId="2FFFE0F2" w14:textId="77777777" w:rsidR="00DD6D54" w:rsidRDefault="00DD6D54" w:rsidP="00DD6D54">
      <w:pPr>
        <w:tabs>
          <w:tab w:val="left" w:pos="-720"/>
        </w:tabs>
        <w:suppressAutoHyphens/>
        <w:spacing w:before="200" w:line="276" w:lineRule="auto"/>
        <w:ind w:left="360"/>
        <w:jc w:val="both"/>
        <w:outlineLvl w:val="0"/>
        <w:rPr>
          <w:rFonts w:ascii="Times New Roman" w:hAnsi="Times New Roman"/>
          <w:bCs/>
          <w:sz w:val="22"/>
          <w:szCs w:val="22"/>
        </w:rPr>
      </w:pPr>
      <w:r>
        <w:rPr>
          <w:rFonts w:ascii="Times New Roman" w:hAnsi="Times New Roman"/>
          <w:bCs/>
          <w:sz w:val="22"/>
          <w:szCs w:val="22"/>
        </w:rPr>
        <w:t>A cost-plus-a-percentage-of-cost (CPPC) contract is</w:t>
      </w:r>
      <w:r w:rsidRPr="00F8704B">
        <w:rPr>
          <w:rFonts w:ascii="Times New Roman" w:hAnsi="Times New Roman"/>
          <w:bCs/>
          <w:sz w:val="22"/>
          <w:szCs w:val="22"/>
        </w:rPr>
        <w:t xml:space="preserve"> a contract containing some element that obligate</w:t>
      </w:r>
      <w:r>
        <w:rPr>
          <w:rFonts w:ascii="Times New Roman" w:hAnsi="Times New Roman"/>
          <w:bCs/>
          <w:sz w:val="22"/>
          <w:szCs w:val="22"/>
        </w:rPr>
        <w:t xml:space="preserve">s Harris County or Contractor </w:t>
      </w:r>
      <w:r w:rsidRPr="00F8704B">
        <w:rPr>
          <w:rFonts w:ascii="Times New Roman" w:hAnsi="Times New Roman"/>
          <w:bCs/>
          <w:sz w:val="22"/>
          <w:szCs w:val="22"/>
        </w:rPr>
        <w:t xml:space="preserve">to pay </w:t>
      </w:r>
      <w:r>
        <w:rPr>
          <w:rFonts w:ascii="Times New Roman" w:hAnsi="Times New Roman"/>
          <w:bCs/>
          <w:sz w:val="22"/>
          <w:szCs w:val="22"/>
        </w:rPr>
        <w:t>a</w:t>
      </w:r>
      <w:r w:rsidRPr="00F8704B">
        <w:rPr>
          <w:rFonts w:ascii="Times New Roman" w:hAnsi="Times New Roman"/>
          <w:bCs/>
          <w:sz w:val="22"/>
          <w:szCs w:val="22"/>
        </w:rPr>
        <w:t xml:space="preserve"> contractor </w:t>
      </w:r>
      <w:r>
        <w:rPr>
          <w:rFonts w:ascii="Times New Roman" w:hAnsi="Times New Roman"/>
          <w:bCs/>
          <w:sz w:val="22"/>
          <w:szCs w:val="22"/>
        </w:rPr>
        <w:t xml:space="preserve">or subcontractor </w:t>
      </w:r>
      <w:r w:rsidRPr="00F8704B">
        <w:rPr>
          <w:rFonts w:ascii="Times New Roman" w:hAnsi="Times New Roman"/>
          <w:bCs/>
          <w:sz w:val="22"/>
          <w:szCs w:val="22"/>
        </w:rPr>
        <w:t>an amount (in the form of either profit or cost), undetermined at the time the contract was made, to be incurred in the future, and based on a percentage of future costs. The inclusion of an overall contract ceiling price does not make these</w:t>
      </w:r>
      <w:r>
        <w:rPr>
          <w:rFonts w:ascii="Times New Roman" w:hAnsi="Times New Roman"/>
          <w:bCs/>
          <w:sz w:val="22"/>
          <w:szCs w:val="22"/>
        </w:rPr>
        <w:t xml:space="preserve"> forms of contracts acceptable. </w:t>
      </w:r>
    </w:p>
    <w:p w14:paraId="06656914" w14:textId="613097AF" w:rsidR="00DD6D54" w:rsidRDefault="00DD6D54" w:rsidP="00DD6D54">
      <w:pPr>
        <w:tabs>
          <w:tab w:val="left" w:pos="-720"/>
        </w:tabs>
        <w:suppressAutoHyphens/>
        <w:spacing w:before="200" w:line="276" w:lineRule="auto"/>
        <w:ind w:left="360"/>
        <w:jc w:val="both"/>
        <w:outlineLvl w:val="0"/>
        <w:rPr>
          <w:rFonts w:ascii="Times New Roman" w:hAnsi="Times New Roman"/>
          <w:bCs/>
          <w:sz w:val="22"/>
          <w:szCs w:val="22"/>
        </w:rPr>
      </w:pPr>
      <w:r w:rsidRPr="00F8704B">
        <w:rPr>
          <w:rFonts w:ascii="Times New Roman" w:hAnsi="Times New Roman"/>
          <w:bCs/>
          <w:sz w:val="22"/>
          <w:szCs w:val="22"/>
        </w:rPr>
        <w:t>This type of contract is prohibited because there is no incentive for the contractor</w:t>
      </w:r>
      <w:r>
        <w:rPr>
          <w:rFonts w:ascii="Times New Roman" w:hAnsi="Times New Roman"/>
          <w:bCs/>
          <w:sz w:val="22"/>
          <w:szCs w:val="22"/>
        </w:rPr>
        <w:t xml:space="preserve"> or subcontractor</w:t>
      </w:r>
      <w:r w:rsidRPr="00F8704B">
        <w:rPr>
          <w:rFonts w:ascii="Times New Roman" w:hAnsi="Times New Roman"/>
          <w:bCs/>
          <w:sz w:val="22"/>
          <w:szCs w:val="22"/>
        </w:rPr>
        <w:t xml:space="preserve"> to keep its incurred costs low. Instead, there is a reverse incentive for the contractor</w:t>
      </w:r>
      <w:r>
        <w:rPr>
          <w:rFonts w:ascii="Times New Roman" w:hAnsi="Times New Roman"/>
          <w:bCs/>
          <w:sz w:val="22"/>
          <w:szCs w:val="22"/>
        </w:rPr>
        <w:t xml:space="preserve"> or subcontractor</w:t>
      </w:r>
      <w:r w:rsidRPr="00F8704B">
        <w:rPr>
          <w:rFonts w:ascii="Times New Roman" w:hAnsi="Times New Roman"/>
          <w:bCs/>
          <w:sz w:val="22"/>
          <w:szCs w:val="22"/>
        </w:rPr>
        <w:t xml:space="preserve"> to continue to incur additional costs in order to continue to drive the percentage of cost up. In other words, increased spending by the contractor will yield higher profits.</w:t>
      </w:r>
      <w:r>
        <w:rPr>
          <w:rFonts w:ascii="Times New Roman" w:hAnsi="Times New Roman"/>
          <w:bCs/>
          <w:sz w:val="22"/>
          <w:szCs w:val="22"/>
        </w:rPr>
        <w:t xml:space="preserve"> </w:t>
      </w:r>
      <w:r w:rsidRPr="00F8704B">
        <w:rPr>
          <w:rFonts w:ascii="Times New Roman" w:hAnsi="Times New Roman"/>
          <w:bCs/>
          <w:sz w:val="22"/>
          <w:szCs w:val="22"/>
        </w:rPr>
        <w:t>This prohibition applies to all work, r</w:t>
      </w:r>
      <w:r>
        <w:rPr>
          <w:rFonts w:ascii="Times New Roman" w:hAnsi="Times New Roman"/>
          <w:bCs/>
          <w:sz w:val="22"/>
          <w:szCs w:val="22"/>
        </w:rPr>
        <w:t xml:space="preserve">egardless of the circumstances, and applies </w:t>
      </w:r>
      <w:r w:rsidRPr="00F8704B">
        <w:rPr>
          <w:rFonts w:ascii="Times New Roman" w:hAnsi="Times New Roman"/>
          <w:bCs/>
          <w:sz w:val="22"/>
          <w:szCs w:val="22"/>
        </w:rPr>
        <w:t>to subcontracts of the contractor cases where the prime contract is a cost-reimbursement type contract or sub</w:t>
      </w:r>
      <w:r>
        <w:rPr>
          <w:rFonts w:ascii="Times New Roman" w:hAnsi="Times New Roman"/>
          <w:bCs/>
          <w:sz w:val="22"/>
          <w:szCs w:val="22"/>
        </w:rPr>
        <w:t>ject to price redetermination.</w:t>
      </w:r>
      <w:r w:rsidR="00D63982">
        <w:rPr>
          <w:rFonts w:ascii="Times New Roman" w:hAnsi="Times New Roman"/>
          <w:bCs/>
          <w:sz w:val="22"/>
          <w:szCs w:val="22"/>
        </w:rPr>
        <w:t xml:space="preserve"> </w:t>
      </w:r>
    </w:p>
    <w:p w14:paraId="20380319" w14:textId="1FDB867D" w:rsidR="00D63982" w:rsidRDefault="00D63982" w:rsidP="00DD6D54">
      <w:pPr>
        <w:tabs>
          <w:tab w:val="left" w:pos="-720"/>
        </w:tabs>
        <w:suppressAutoHyphens/>
        <w:spacing w:before="200" w:line="276" w:lineRule="auto"/>
        <w:ind w:left="360"/>
        <w:jc w:val="both"/>
        <w:outlineLvl w:val="0"/>
        <w:rPr>
          <w:rFonts w:ascii="Times New Roman" w:hAnsi="Times New Roman"/>
          <w:bCs/>
          <w:sz w:val="22"/>
          <w:szCs w:val="22"/>
        </w:rPr>
      </w:pPr>
    </w:p>
    <w:p w14:paraId="43C329EC" w14:textId="312C2BA3" w:rsidR="00D63982" w:rsidRDefault="00D63982" w:rsidP="00DD6D54">
      <w:pPr>
        <w:tabs>
          <w:tab w:val="left" w:pos="-720"/>
        </w:tabs>
        <w:suppressAutoHyphens/>
        <w:spacing w:before="200" w:line="276" w:lineRule="auto"/>
        <w:ind w:left="360"/>
        <w:jc w:val="both"/>
        <w:outlineLvl w:val="0"/>
        <w:rPr>
          <w:rFonts w:ascii="Times New Roman" w:hAnsi="Times New Roman"/>
          <w:bCs/>
          <w:sz w:val="22"/>
          <w:szCs w:val="22"/>
        </w:rPr>
      </w:pPr>
    </w:p>
    <w:p w14:paraId="0692CB15" w14:textId="77777777" w:rsidR="00D63982" w:rsidRPr="009F5000" w:rsidRDefault="00D63982" w:rsidP="00DD6D54">
      <w:pPr>
        <w:tabs>
          <w:tab w:val="left" w:pos="-720"/>
        </w:tabs>
        <w:suppressAutoHyphens/>
        <w:spacing w:before="200" w:line="276" w:lineRule="auto"/>
        <w:ind w:left="360"/>
        <w:jc w:val="both"/>
        <w:outlineLvl w:val="0"/>
        <w:rPr>
          <w:rFonts w:ascii="Times New Roman" w:hAnsi="Times New Roman"/>
          <w:bCs/>
          <w:sz w:val="22"/>
          <w:szCs w:val="22"/>
        </w:rPr>
      </w:pPr>
    </w:p>
    <w:p w14:paraId="7B7CCA7A" w14:textId="77777777" w:rsidR="00DD6D54" w:rsidRPr="004F3D9D" w:rsidRDefault="00DD6D54" w:rsidP="00DD6D54">
      <w:pPr>
        <w:tabs>
          <w:tab w:val="left" w:pos="-720"/>
        </w:tabs>
        <w:suppressAutoHyphens/>
        <w:spacing w:before="200" w:after="200" w:line="276" w:lineRule="auto"/>
        <w:ind w:left="360"/>
        <w:jc w:val="both"/>
        <w:outlineLvl w:val="0"/>
        <w:rPr>
          <w:rFonts w:ascii="Times New Roman" w:hAnsi="Times New Roman"/>
          <w:b/>
          <w:bCs/>
          <w:sz w:val="22"/>
          <w:szCs w:val="22"/>
        </w:rPr>
      </w:pPr>
      <w:r w:rsidRPr="1211BDFB">
        <w:rPr>
          <w:rFonts w:ascii="Times New Roman" w:hAnsi="Times New Roman"/>
          <w:b/>
          <w:bCs/>
          <w:sz w:val="22"/>
          <w:szCs w:val="22"/>
        </w:rPr>
        <w:lastRenderedPageBreak/>
        <w:t>DAVIS BACON AND RELATED ACTS (2 CFR 200 APPENDIX II (D))</w:t>
      </w:r>
    </w:p>
    <w:p w14:paraId="7D709C95" w14:textId="77777777" w:rsidR="00DD6D54" w:rsidRPr="004F3D9D" w:rsidRDefault="00DD6D54" w:rsidP="00DD6D54">
      <w:pPr>
        <w:tabs>
          <w:tab w:val="left" w:pos="-720"/>
        </w:tabs>
        <w:suppressAutoHyphens/>
        <w:spacing w:before="200" w:after="200" w:line="276" w:lineRule="auto"/>
        <w:ind w:left="360"/>
        <w:jc w:val="both"/>
        <w:outlineLvl w:val="0"/>
        <w:rPr>
          <w:rFonts w:ascii="Times New Roman" w:hAnsi="Times New Roman"/>
          <w:sz w:val="22"/>
          <w:szCs w:val="22"/>
        </w:rPr>
      </w:pPr>
      <w:r w:rsidRPr="1211BDFB">
        <w:rPr>
          <w:rFonts w:ascii="Times New Roman" w:hAnsi="Times New Roman"/>
          <w:sz w:val="22"/>
          <w:szCs w:val="22"/>
        </w:rPr>
        <w:t xml:space="preserve">Pursuant to 2 CFR 200 Appendix II (D), for any contract in excess of $2,000, Contractor </w:t>
      </w:r>
      <w:r>
        <w:rPr>
          <w:rFonts w:ascii="Times New Roman" w:hAnsi="Times New Roman"/>
          <w:sz w:val="22"/>
          <w:szCs w:val="22"/>
        </w:rPr>
        <w:t>must</w:t>
      </w:r>
      <w:r w:rsidRPr="1211BDFB">
        <w:rPr>
          <w:rFonts w:ascii="Times New Roman" w:hAnsi="Times New Roman"/>
          <w:sz w:val="22"/>
          <w:szCs w:val="22"/>
        </w:rPr>
        <w:t xml:space="preserve"> comply with the Davis Bacon and Related Acts, and the requirements shall be applicable to any labor or mechanic work completed in connection with this contract which fall under the Davis Bacon Act. Any Contractor awarded under this contract is required to comply with the Davis Bacon Act (40 U.S.C. 3141-3144, and 3146-3148) as supplemented by Department of Labor regulations (29 CFR part 5) and with the Copeland “Anti-Kickback” Act (18 U.S.C. 874; 40 U.S.C. 3145) as supplemented in Department of Labor regulations (29 CFR part 3). In accordance with the statute, Contractors are required to pay wages to laborers and mechanics at a rate not less than the prevailing wages specified in a wage determination made by the Secretary of Labor. In addition, contractors must be required to pay wages not less than once a week.</w:t>
      </w:r>
    </w:p>
    <w:p w14:paraId="6434007B" w14:textId="51BE7BDD" w:rsidR="00DD6D54" w:rsidRDefault="00DD6D54" w:rsidP="00DD6D54">
      <w:pPr>
        <w:spacing w:before="200" w:after="200" w:line="276" w:lineRule="auto"/>
        <w:ind w:left="360"/>
        <w:jc w:val="both"/>
        <w:rPr>
          <w:rFonts w:ascii="Times New Roman" w:hAnsi="Times New Roman"/>
          <w:sz w:val="22"/>
          <w:szCs w:val="22"/>
        </w:rPr>
      </w:pPr>
      <w:r>
        <w:rPr>
          <w:rFonts w:ascii="Times New Roman" w:hAnsi="Times New Roman"/>
          <w:sz w:val="22"/>
          <w:szCs w:val="22"/>
        </w:rPr>
        <w:t xml:space="preserve">If Davis Bacon is applicable, </w:t>
      </w:r>
      <w:r w:rsidRPr="1211BDFB">
        <w:rPr>
          <w:rFonts w:ascii="Times New Roman" w:hAnsi="Times New Roman"/>
          <w:sz w:val="22"/>
          <w:szCs w:val="22"/>
        </w:rPr>
        <w:t xml:space="preserve">Harris County </w:t>
      </w:r>
      <w:r>
        <w:rPr>
          <w:rFonts w:ascii="Times New Roman" w:hAnsi="Times New Roman"/>
          <w:sz w:val="22"/>
          <w:szCs w:val="22"/>
        </w:rPr>
        <w:t>will provide</w:t>
      </w:r>
      <w:r w:rsidRPr="1211BDFB">
        <w:rPr>
          <w:rFonts w:ascii="Times New Roman" w:hAnsi="Times New Roman"/>
          <w:sz w:val="22"/>
          <w:szCs w:val="22"/>
        </w:rPr>
        <w:t xml:space="preserve"> a copy of the current </w:t>
      </w:r>
      <w:r w:rsidRPr="1211BDFB">
        <w:rPr>
          <w:rFonts w:ascii="Times New Roman" w:hAnsi="Times New Roman"/>
          <w:i/>
          <w:iCs/>
          <w:sz w:val="22"/>
          <w:szCs w:val="22"/>
        </w:rPr>
        <w:t>Davis Bacon Wage Decision</w:t>
      </w:r>
      <w:r w:rsidRPr="1211BDFB">
        <w:rPr>
          <w:rFonts w:ascii="Times New Roman" w:hAnsi="Times New Roman"/>
          <w:sz w:val="22"/>
          <w:szCs w:val="22"/>
        </w:rPr>
        <w:t xml:space="preserve"> with </w:t>
      </w:r>
      <w:r w:rsidR="007C2F3B">
        <w:rPr>
          <w:rFonts w:ascii="Times New Roman" w:hAnsi="Times New Roman"/>
          <w:sz w:val="22"/>
          <w:szCs w:val="22"/>
        </w:rPr>
        <w:t>the</w:t>
      </w:r>
      <w:r w:rsidRPr="1211BDFB">
        <w:rPr>
          <w:rFonts w:ascii="Times New Roman" w:hAnsi="Times New Roman"/>
          <w:sz w:val="22"/>
          <w:szCs w:val="22"/>
        </w:rPr>
        <w:t xml:space="preserve"> </w:t>
      </w:r>
      <w:r>
        <w:rPr>
          <w:rFonts w:ascii="Times New Roman" w:hAnsi="Times New Roman"/>
          <w:sz w:val="22"/>
          <w:szCs w:val="22"/>
        </w:rPr>
        <w:t>solicitation</w:t>
      </w:r>
      <w:r w:rsidRPr="1211BDFB">
        <w:rPr>
          <w:rFonts w:ascii="Times New Roman" w:hAnsi="Times New Roman"/>
          <w:sz w:val="22"/>
          <w:szCs w:val="22"/>
        </w:rPr>
        <w:t>. The decision to award a contract or subcontract shall be conditioned upon the acceptance of the wage determination. Contractor shall submit certified payroll of contractor and all subcontractors on a weekly basis</w:t>
      </w:r>
      <w:r>
        <w:rPr>
          <w:rFonts w:ascii="Times New Roman" w:hAnsi="Times New Roman"/>
          <w:sz w:val="22"/>
          <w:szCs w:val="22"/>
        </w:rPr>
        <w:t xml:space="preserve"> in the format required by the County</w:t>
      </w:r>
      <w:r w:rsidRPr="1211BDFB">
        <w:rPr>
          <w:rFonts w:ascii="Times New Roman" w:hAnsi="Times New Roman"/>
          <w:sz w:val="22"/>
          <w:szCs w:val="22"/>
        </w:rPr>
        <w:t xml:space="preserve">. At County’s request, Contractor </w:t>
      </w:r>
      <w:r>
        <w:rPr>
          <w:rFonts w:ascii="Times New Roman" w:hAnsi="Times New Roman"/>
          <w:sz w:val="22"/>
          <w:szCs w:val="22"/>
        </w:rPr>
        <w:t>shall</w:t>
      </w:r>
      <w:r w:rsidRPr="1211BDFB">
        <w:rPr>
          <w:rFonts w:ascii="Times New Roman" w:hAnsi="Times New Roman"/>
          <w:sz w:val="22"/>
          <w:szCs w:val="22"/>
        </w:rPr>
        <w:t xml:space="preserve"> make available and shall require its subcontractors to make available, copies of cancelled checks and check stubs for comparisons by the County or its agents.</w:t>
      </w:r>
    </w:p>
    <w:p w14:paraId="3A034E5E" w14:textId="77777777" w:rsidR="00DD6D54" w:rsidRDefault="00DD6D54" w:rsidP="00DD6D54">
      <w:pPr>
        <w:spacing w:before="200" w:after="200" w:line="276" w:lineRule="auto"/>
        <w:ind w:left="360"/>
        <w:jc w:val="both"/>
        <w:rPr>
          <w:rFonts w:ascii="Times New Roman" w:hAnsi="Times New Roman"/>
          <w:sz w:val="22"/>
          <w:szCs w:val="22"/>
        </w:rPr>
      </w:pPr>
      <w:r w:rsidRPr="00BB4AA3">
        <w:rPr>
          <w:rFonts w:ascii="Times New Roman" w:hAnsi="Times New Roman"/>
          <w:sz w:val="22"/>
          <w:szCs w:val="22"/>
        </w:rPr>
        <w:t>Such laborers and mechanics shall be paid the appropriate wage rate and fringe benefits on the wage determination for the classification of work actually performed, without regard to skill, except as provided in 29 CFR Part 5.5(a)(4).  Laborers or mechanics performing work in more than one classification may be compensated at the rate specified for each classification for the time actually worked therein:  Provided</w:t>
      </w:r>
      <w:r>
        <w:rPr>
          <w:rFonts w:ascii="Times New Roman" w:hAnsi="Times New Roman"/>
          <w:sz w:val="22"/>
          <w:szCs w:val="22"/>
        </w:rPr>
        <w:t xml:space="preserve"> th</w:t>
      </w:r>
      <w:r w:rsidRPr="00BB4AA3">
        <w:rPr>
          <w:rFonts w:ascii="Times New Roman" w:hAnsi="Times New Roman"/>
          <w:sz w:val="22"/>
          <w:szCs w:val="22"/>
        </w:rPr>
        <w:t>at the employer's payroll records accurately set forth the time spent in each classification in which work is performed.  The wage determination (including any additional classification and wage rates conformed under 29 CFR Part 5.5(a)(1)(ii)</w:t>
      </w:r>
      <w:r>
        <w:rPr>
          <w:rFonts w:ascii="Times New Roman" w:hAnsi="Times New Roman"/>
          <w:sz w:val="22"/>
          <w:szCs w:val="22"/>
        </w:rPr>
        <w:t>)</w:t>
      </w:r>
      <w:r w:rsidRPr="00BB4AA3">
        <w:rPr>
          <w:rFonts w:ascii="Times New Roman" w:hAnsi="Times New Roman"/>
          <w:sz w:val="22"/>
          <w:szCs w:val="22"/>
        </w:rPr>
        <w:t xml:space="preserve"> and the Davis Bacon poster (WH-1321)</w:t>
      </w:r>
      <w:r w:rsidRPr="00BB4AA3">
        <w:rPr>
          <w:rFonts w:ascii="Times New Roman" w:hAnsi="Times New Roman"/>
          <w:b/>
          <w:sz w:val="22"/>
          <w:szCs w:val="22"/>
        </w:rPr>
        <w:t xml:space="preserve"> </w:t>
      </w:r>
      <w:r w:rsidRPr="00BB4AA3">
        <w:rPr>
          <w:rFonts w:ascii="Times New Roman" w:hAnsi="Times New Roman"/>
          <w:sz w:val="22"/>
          <w:szCs w:val="22"/>
        </w:rPr>
        <w:t>shall be</w:t>
      </w:r>
      <w:r w:rsidRPr="00BB4AA3">
        <w:rPr>
          <w:rFonts w:ascii="Times New Roman" w:hAnsi="Times New Roman"/>
          <w:b/>
          <w:sz w:val="22"/>
          <w:szCs w:val="22"/>
        </w:rPr>
        <w:t xml:space="preserve"> </w:t>
      </w:r>
      <w:r w:rsidRPr="00BB4AA3">
        <w:rPr>
          <w:rFonts w:ascii="Times New Roman" w:hAnsi="Times New Roman"/>
          <w:sz w:val="22"/>
          <w:szCs w:val="22"/>
        </w:rPr>
        <w:t>posted at all times by the contractor and its subcontractors at the site of the work in a prominent and accessible place where it can be easily seen by the workers.</w:t>
      </w:r>
    </w:p>
    <w:p w14:paraId="2BE24444" w14:textId="77777777" w:rsidR="00DD6D54" w:rsidRPr="00CA1535" w:rsidRDefault="00DD6D54" w:rsidP="00DD6D54">
      <w:pPr>
        <w:spacing w:before="200" w:after="200" w:line="276" w:lineRule="auto"/>
        <w:ind w:left="360"/>
        <w:jc w:val="both"/>
        <w:rPr>
          <w:rFonts w:ascii="Times New Roman" w:hAnsi="Times New Roman"/>
          <w:bCs/>
          <w:sz w:val="22"/>
          <w:szCs w:val="22"/>
        </w:rPr>
      </w:pPr>
      <w:r w:rsidRPr="00595DE9">
        <w:rPr>
          <w:rFonts w:ascii="Times New Roman" w:hAnsi="Times New Roman"/>
          <w:bCs/>
          <w:sz w:val="22"/>
          <w:szCs w:val="22"/>
        </w:rPr>
        <w:t xml:space="preserve">Each payroll submitted shall be accompanied by a "Statement of Compliance," signed by the contractor or subcontractor or his or her agent who pays or supervises the payment of the persons employed under the contract and shall certify the following. The Statement of Compliance </w:t>
      </w:r>
      <w:r>
        <w:rPr>
          <w:rFonts w:ascii="Times New Roman" w:hAnsi="Times New Roman"/>
          <w:bCs/>
          <w:sz w:val="22"/>
          <w:szCs w:val="22"/>
        </w:rPr>
        <w:t>can be</w:t>
      </w:r>
      <w:r w:rsidRPr="00595DE9">
        <w:rPr>
          <w:rFonts w:ascii="Times New Roman" w:hAnsi="Times New Roman"/>
          <w:bCs/>
          <w:sz w:val="22"/>
          <w:szCs w:val="22"/>
        </w:rPr>
        <w:t xml:space="preserve"> found on page 2 of the WH-347 form, and</w:t>
      </w:r>
      <w:r>
        <w:rPr>
          <w:rFonts w:ascii="Times New Roman" w:hAnsi="Times New Roman"/>
          <w:bCs/>
          <w:sz w:val="22"/>
          <w:szCs w:val="22"/>
        </w:rPr>
        <w:t>/or</w:t>
      </w:r>
      <w:r w:rsidRPr="00595DE9">
        <w:rPr>
          <w:rFonts w:ascii="Times New Roman" w:hAnsi="Times New Roman"/>
          <w:bCs/>
          <w:sz w:val="22"/>
          <w:szCs w:val="22"/>
        </w:rPr>
        <w:t xml:space="preserve"> additional certifications of compliance may be required by Harris County. Any Statement of Compliance is subject to the penalties provided by 18 U.S.C. § 1001, namely, a fine, possible imprisonment of not more than 5 years, or both. Accordingly, the party signing </w:t>
      </w:r>
      <w:r>
        <w:rPr>
          <w:rFonts w:ascii="Times New Roman" w:hAnsi="Times New Roman"/>
          <w:bCs/>
          <w:sz w:val="22"/>
          <w:szCs w:val="22"/>
        </w:rPr>
        <w:t>the</w:t>
      </w:r>
      <w:r w:rsidRPr="00595DE9">
        <w:rPr>
          <w:rFonts w:ascii="Times New Roman" w:hAnsi="Times New Roman"/>
          <w:bCs/>
          <w:sz w:val="22"/>
          <w:szCs w:val="22"/>
        </w:rPr>
        <w:t xml:space="preserve"> statement should have knowledge of the facts </w:t>
      </w:r>
      <w:r w:rsidRPr="00CA1535">
        <w:rPr>
          <w:rFonts w:ascii="Times New Roman" w:hAnsi="Times New Roman"/>
          <w:bCs/>
          <w:sz w:val="22"/>
          <w:szCs w:val="22"/>
        </w:rPr>
        <w:t>represented as true.</w:t>
      </w:r>
    </w:p>
    <w:p w14:paraId="2261AF8F" w14:textId="55CA6AD3" w:rsidR="00DD6D54" w:rsidRPr="00CA1535" w:rsidRDefault="00DD6D54" w:rsidP="00DD6D54">
      <w:pPr>
        <w:tabs>
          <w:tab w:val="left" w:pos="-720"/>
        </w:tabs>
        <w:suppressAutoHyphens/>
        <w:spacing w:before="200" w:after="200" w:line="276" w:lineRule="auto"/>
        <w:ind w:left="360"/>
        <w:jc w:val="both"/>
        <w:outlineLvl w:val="0"/>
        <w:rPr>
          <w:rFonts w:ascii="Times New Roman" w:hAnsi="Times New Roman"/>
          <w:sz w:val="22"/>
          <w:szCs w:val="22"/>
        </w:rPr>
      </w:pPr>
      <w:r w:rsidRPr="00CA1535">
        <w:rPr>
          <w:rFonts w:ascii="Times New Roman" w:hAnsi="Times New Roman"/>
          <w:sz w:val="22"/>
          <w:szCs w:val="22"/>
        </w:rPr>
        <w:t xml:space="preserve">Contractor must include this provision in all contracts between itself and any subcontractors in connection with the services performed under this Contract. Harris County shall report all suspected or reported violations to the Federal awarding agency, as applicable. </w:t>
      </w:r>
    </w:p>
    <w:p w14:paraId="51710C8C" w14:textId="40702C56" w:rsidR="00D63982" w:rsidRPr="00CA1535" w:rsidRDefault="00D63982" w:rsidP="00DD6D54">
      <w:pPr>
        <w:tabs>
          <w:tab w:val="left" w:pos="-720"/>
        </w:tabs>
        <w:suppressAutoHyphens/>
        <w:spacing w:before="200" w:after="200" w:line="276" w:lineRule="auto"/>
        <w:ind w:left="360"/>
        <w:jc w:val="both"/>
        <w:outlineLvl w:val="0"/>
        <w:rPr>
          <w:rFonts w:ascii="Times New Roman" w:hAnsi="Times New Roman"/>
          <w:sz w:val="22"/>
          <w:szCs w:val="22"/>
        </w:rPr>
      </w:pPr>
      <w:r w:rsidRPr="00CA1535">
        <w:rPr>
          <w:rFonts w:ascii="Times New Roman" w:hAnsi="Times New Roman"/>
          <w:sz w:val="22"/>
          <w:szCs w:val="22"/>
        </w:rPr>
        <w:t>The DBRA Final Rule, effective October 23, 2023, adds language explaining 29 CPF 1.6)c)(2)(iii) wage determination must be updated after contractor award when:</w:t>
      </w:r>
    </w:p>
    <w:p w14:paraId="2A61B20A" w14:textId="06774141" w:rsidR="00D63982" w:rsidRPr="00CA1535" w:rsidRDefault="00D63982" w:rsidP="00D63982">
      <w:pPr>
        <w:pStyle w:val="ListParagraph"/>
        <w:numPr>
          <w:ilvl w:val="0"/>
          <w:numId w:val="64"/>
        </w:numPr>
        <w:tabs>
          <w:tab w:val="left" w:pos="-720"/>
        </w:tabs>
        <w:suppressAutoHyphens/>
        <w:spacing w:before="200" w:after="200" w:line="276" w:lineRule="auto"/>
        <w:jc w:val="both"/>
        <w:outlineLvl w:val="0"/>
        <w:rPr>
          <w:rFonts w:ascii="Times New Roman" w:hAnsi="Times New Roman"/>
          <w:sz w:val="22"/>
          <w:szCs w:val="22"/>
        </w:rPr>
      </w:pPr>
      <w:r w:rsidRPr="00CA1535">
        <w:rPr>
          <w:rFonts w:ascii="Times New Roman" w:hAnsi="Times New Roman"/>
          <w:sz w:val="22"/>
          <w:szCs w:val="22"/>
        </w:rPr>
        <w:t>The contract or order is changed to include additional, substantial construction not within the scope of work or</w:t>
      </w:r>
    </w:p>
    <w:p w14:paraId="280F13A3" w14:textId="4E34FE47" w:rsidR="00D63982" w:rsidRPr="00CA1535" w:rsidRDefault="00D63982" w:rsidP="00D63982">
      <w:pPr>
        <w:pStyle w:val="ListParagraph"/>
        <w:numPr>
          <w:ilvl w:val="0"/>
          <w:numId w:val="64"/>
        </w:numPr>
        <w:tabs>
          <w:tab w:val="left" w:pos="-720"/>
        </w:tabs>
        <w:suppressAutoHyphens/>
        <w:spacing w:before="200" w:after="200" w:line="276" w:lineRule="auto"/>
        <w:jc w:val="both"/>
        <w:outlineLvl w:val="0"/>
        <w:rPr>
          <w:rFonts w:ascii="Times New Roman" w:hAnsi="Times New Roman"/>
          <w:sz w:val="22"/>
          <w:szCs w:val="22"/>
        </w:rPr>
      </w:pPr>
      <w:r w:rsidRPr="00CA1535">
        <w:rPr>
          <w:rFonts w:ascii="Times New Roman" w:hAnsi="Times New Roman"/>
          <w:sz w:val="22"/>
          <w:szCs w:val="22"/>
        </w:rPr>
        <w:lastRenderedPageBreak/>
        <w:t xml:space="preserve">The contract or order is changed to require the contractor to perform work for an additional time period not originally obligated, </w:t>
      </w:r>
      <w:r w:rsidR="002B1D3F" w:rsidRPr="00CA1535">
        <w:rPr>
          <w:rFonts w:ascii="Times New Roman" w:hAnsi="Times New Roman"/>
          <w:sz w:val="22"/>
          <w:szCs w:val="22"/>
        </w:rPr>
        <w:t>including</w:t>
      </w:r>
      <w:r w:rsidRPr="00CA1535">
        <w:rPr>
          <w:rFonts w:ascii="Times New Roman" w:hAnsi="Times New Roman"/>
          <w:sz w:val="22"/>
          <w:szCs w:val="22"/>
        </w:rPr>
        <w:t xml:space="preserve"> when an option is exercised on a contract or order. </w:t>
      </w:r>
    </w:p>
    <w:p w14:paraId="1898C609" w14:textId="77777777" w:rsidR="00DD6D54" w:rsidRPr="00CA1535" w:rsidRDefault="00DD6D54" w:rsidP="00DD6D54">
      <w:pPr>
        <w:tabs>
          <w:tab w:val="left" w:pos="-720"/>
        </w:tabs>
        <w:suppressAutoHyphens/>
        <w:spacing w:before="200" w:after="200" w:line="276" w:lineRule="auto"/>
        <w:ind w:left="360"/>
        <w:jc w:val="both"/>
        <w:outlineLvl w:val="0"/>
        <w:rPr>
          <w:rFonts w:ascii="Times New Roman" w:hAnsi="Times New Roman"/>
          <w:b/>
          <w:bCs/>
          <w:sz w:val="22"/>
          <w:szCs w:val="22"/>
        </w:rPr>
      </w:pPr>
      <w:r w:rsidRPr="00CA1535">
        <w:rPr>
          <w:rFonts w:ascii="Times New Roman" w:hAnsi="Times New Roman"/>
          <w:b/>
          <w:bCs/>
          <w:sz w:val="22"/>
          <w:szCs w:val="22"/>
        </w:rPr>
        <w:t>DEBARMENT / SUSPENSION AND VOLUNTARY EXCLUSION (2 CFR Appendix II to Part 200 (I))</w:t>
      </w:r>
    </w:p>
    <w:p w14:paraId="37F20CE1" w14:textId="77777777" w:rsidR="00DD6D54" w:rsidRPr="00CA1535" w:rsidRDefault="00DD6D54" w:rsidP="00DD6D54">
      <w:pPr>
        <w:spacing w:before="200" w:after="200" w:line="276" w:lineRule="auto"/>
        <w:ind w:left="360"/>
        <w:jc w:val="both"/>
        <w:rPr>
          <w:rFonts w:ascii="Times New Roman" w:hAnsi="Times New Roman"/>
          <w:sz w:val="22"/>
          <w:szCs w:val="22"/>
        </w:rPr>
      </w:pPr>
      <w:bookmarkStart w:id="1" w:name="_Hlk524086096"/>
      <w:r w:rsidRPr="00CA1535">
        <w:rPr>
          <w:rFonts w:ascii="Times New Roman" w:hAnsi="Times New Roman"/>
          <w:sz w:val="22"/>
          <w:szCs w:val="22"/>
        </w:rPr>
        <w:t>Pursuant to 2 CFR Appendix II to Part 200 (I), a Contract meeting the definition in 2 C.F.R. § 180.220 must not be made to parties listed on the System for Award Management (SAM) Exclusion lists, in accordance with the OMB guidelines at 2 CFR 180 that implement Executive Orders 12549 (3 CFR part 1986 Comp., p. 189) and 12689 (3 CFR part 1989 Comp., p. 235), “Debarment and Suspension.” SAM Exclusions contains the names of parties debarred, suspended, or otherwise excluded by agencies, as well as parties declared ineligible under statutory or regulatory authority other than Executive Order 12549.</w:t>
      </w:r>
    </w:p>
    <w:p w14:paraId="5BE4E3C3" w14:textId="77777777"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 xml:space="preserve">Pursuant to Executive Orders 12549 and 12689, a contract award shall not be made to parties listed on the government-wide exclusions in the System for Award Management (SAM), in accordance with the OMB guidelines at 2 CFR 180 that implement Executive Orders 12549 (3 CFR part 1986 Comp., p. 189) and 12689 (3 CFR part 1989 Comp., p. 235). SAM Exclusions contains the names of parties debarred, suspended, or otherwise excluded by agencies, as well as parties declared ineligible under statutory or regulatory authority other than Executive Order 12549. A contract award must not be made to parties listed in the SAM Exclusions. SAM exclusions can be accessed at www.sam.gov. </w:t>
      </w:r>
    </w:p>
    <w:p w14:paraId="77028960" w14:textId="77777777"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Additionally, no contracts shall be awarded to any Contractor that has been debarred, suspended, or otherwise excluded from or ineligible for participation in any federal programs, including but not limited to the Department of Health and Human Work (DHHS), Office of Inspector General (OIG) - List of Excluded Individuals &amp; Entities  (LEIE); U.S. General Services Administration (GSA) – Excluded Parties List System (EPLS); All States (50) Health &amp; Human Work Commission Medicaid OIG Sanction List; Government Terrorist Watch List (OFAC / Patriot Act); Department of Commerce, Bureau of Industry and Security, Denied Persons List; and Department of Homeland Security, Immigration and Customs Enforcement (ICE) Most Wanted.</w:t>
      </w:r>
    </w:p>
    <w:p w14:paraId="375D2A67" w14:textId="77777777"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 xml:space="preserve">This contract is a covered transaction for purposes of compliance with Title 2 C.F.R. parts 180 and 3000, and as such the Contractor is required to verify that none of the contractor, its principals (as defined at 2 C.F.R. § 180.995), or its affiliates (as defined at 2 C.F.R. § 180.905) are excluded (as defined at 2 C.F.R. § 180.940) or disqualified (as defined at 2 C.F.R. § 180.935). These regulations restrict awards, subawards, and contracts with certain parties that are debarred, suspended, or otherwise excluded from or ineligible for participation in Federal assistance programs and activities (See 2 C.F.R Part 200, Appendix II). The Contractor must comply with 2 C.F.R. part 180, subpart C and 2 C.F.R. part 3000, subpart C and shall include this requirement and similar certification in all contracts between itself and any subcontractors in connection with the services performed under this Contract. </w:t>
      </w:r>
    </w:p>
    <w:p w14:paraId="0C307515" w14:textId="4471D7DE"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 xml:space="preserve">The Contractor confirms that it is eligible or otherwise not disqualified or prohibited from participation in federal or state assistance programs under Executive Order 12549, </w:t>
      </w:r>
      <w:r w:rsidRPr="00CA1535">
        <w:rPr>
          <w:rFonts w:ascii="Times New Roman" w:hAnsi="Times New Roman"/>
          <w:i/>
          <w:iCs/>
          <w:sz w:val="22"/>
          <w:szCs w:val="22"/>
        </w:rPr>
        <w:t>Debarment and Suspension</w:t>
      </w:r>
      <w:r w:rsidRPr="00CA1535">
        <w:rPr>
          <w:rFonts w:ascii="Times New Roman" w:hAnsi="Times New Roman"/>
          <w:sz w:val="22"/>
          <w:szCs w:val="22"/>
        </w:rPr>
        <w:t xml:space="preserve">. Additionally, the Contractor warrants that it is not debarred, suspended, or otherwise excluded from or ineligible for participation in any federal programs, including but not limited to the following: Department of Health and Human Work (DHHS), Office of Inspector General (OIG) - List of Excluded Individuals &amp; Entities (LEIE); U.S. General Services Administration (GSA) – Excluded Parties List System (EPLS); All States (50) Health &amp; Human Work Commission Medicaid OIG Sanction List; Government Terrorist Watch List (OFAC / Patriot </w:t>
      </w:r>
      <w:r w:rsidRPr="00CA1535">
        <w:rPr>
          <w:rFonts w:ascii="Times New Roman" w:hAnsi="Times New Roman"/>
          <w:sz w:val="22"/>
          <w:szCs w:val="22"/>
        </w:rPr>
        <w:lastRenderedPageBreak/>
        <w:t xml:space="preserve">Act); Department of Commerce, Bureau of Industry and Security, Denied Persons List; and Department of Homeland Security, Immigration and Customs Enforcement (ICE) Most Wanted. Harris County reserves the right to verify any </w:t>
      </w:r>
      <w:r w:rsidR="002D0FAE" w:rsidRPr="00CA1535">
        <w:rPr>
          <w:rFonts w:ascii="Times New Roman" w:hAnsi="Times New Roman"/>
          <w:sz w:val="22"/>
          <w:szCs w:val="22"/>
        </w:rPr>
        <w:t>contractor’s</w:t>
      </w:r>
      <w:r w:rsidRPr="00CA1535">
        <w:rPr>
          <w:rFonts w:ascii="Times New Roman" w:hAnsi="Times New Roman"/>
          <w:sz w:val="22"/>
          <w:szCs w:val="22"/>
        </w:rPr>
        <w:t xml:space="preserve"> status and document instances of debarment, suspension, or other ineligibility.</w:t>
      </w:r>
    </w:p>
    <w:p w14:paraId="3A085AEE" w14:textId="5E734447"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 xml:space="preserve">Contractor shall verify that all subcontractors performing work under this Contract are not debarred, disqualified, or otherwise prohibited from participation in accordance with the requirements above. The Contractor further must notify Harris County in writing immediately if Contractor or its subcontractors are not in compliance with Executive Order 12549 during the term of this contract. Contractor shall include this provision in all contracts between itself and any subcontractors in connection with the services performed under this Contract. </w:t>
      </w:r>
    </w:p>
    <w:p w14:paraId="6D952E0E" w14:textId="77777777"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If it is found that the Contractor did not comply or is not in compliance with Executive Order 12549 (2 C.F.R. part 180, subpart C and 2 C.F.R. part 3000, subpart C), the Contractor may be subject to available remedies, including but not limited to, refunding Harris County for any payments made to the Contractor while ineligible, and also acknowledges that the Federal Government may pursue available remedies, including but not limited to suspension and/or debarment.</w:t>
      </w:r>
    </w:p>
    <w:bookmarkEnd w:id="1"/>
    <w:p w14:paraId="0F14C7E0" w14:textId="77777777" w:rsidR="00DD6D54" w:rsidRPr="00CA1535" w:rsidRDefault="00DD6D54" w:rsidP="00DD6D54">
      <w:pPr>
        <w:tabs>
          <w:tab w:val="left" w:pos="-720"/>
        </w:tabs>
        <w:suppressAutoHyphens/>
        <w:spacing w:before="200" w:after="200" w:line="276" w:lineRule="auto"/>
        <w:ind w:left="360"/>
        <w:jc w:val="both"/>
        <w:outlineLvl w:val="0"/>
        <w:rPr>
          <w:rFonts w:ascii="Times New Roman" w:hAnsi="Times New Roman"/>
          <w:b/>
          <w:bCs/>
          <w:sz w:val="22"/>
          <w:szCs w:val="22"/>
        </w:rPr>
      </w:pPr>
      <w:r w:rsidRPr="00CA1535">
        <w:rPr>
          <w:rFonts w:ascii="Times New Roman" w:hAnsi="Times New Roman"/>
          <w:b/>
          <w:bCs/>
          <w:sz w:val="22"/>
          <w:szCs w:val="22"/>
        </w:rPr>
        <w:t>ENERGY EFFICIENCY (42 U.S.C. 6201 and 2 CFR 200 APPENDIX II (H))</w:t>
      </w:r>
    </w:p>
    <w:p w14:paraId="2B44885C" w14:textId="77777777" w:rsidR="00DD6D54" w:rsidRPr="00CA1535" w:rsidRDefault="00DD6D54" w:rsidP="00DD6D54">
      <w:pPr>
        <w:tabs>
          <w:tab w:val="left" w:pos="-720"/>
        </w:tabs>
        <w:suppressAutoHyphens/>
        <w:spacing w:before="200" w:after="200" w:line="276" w:lineRule="auto"/>
        <w:ind w:left="360"/>
        <w:jc w:val="both"/>
        <w:outlineLvl w:val="0"/>
        <w:rPr>
          <w:rFonts w:ascii="Times New Roman" w:hAnsi="Times New Roman"/>
          <w:sz w:val="22"/>
          <w:szCs w:val="22"/>
        </w:rPr>
      </w:pPr>
      <w:r w:rsidRPr="00CA1535">
        <w:rPr>
          <w:rFonts w:ascii="Times New Roman" w:hAnsi="Times New Roman"/>
          <w:sz w:val="22"/>
          <w:szCs w:val="22"/>
        </w:rPr>
        <w:t>Contractor must</w:t>
      </w:r>
      <w:r w:rsidRPr="00CA1535">
        <w:rPr>
          <w:rFonts w:ascii="Times New Roman" w:hAnsi="Times New Roman"/>
          <w:b/>
          <w:sz w:val="22"/>
          <w:szCs w:val="22"/>
        </w:rPr>
        <w:t xml:space="preserve"> </w:t>
      </w:r>
      <w:r w:rsidRPr="00CA1535">
        <w:rPr>
          <w:rFonts w:ascii="Times New Roman" w:hAnsi="Times New Roman"/>
          <w:sz w:val="22"/>
          <w:szCs w:val="22"/>
        </w:rPr>
        <w:t>comply with the mandatory standards and policies relating to energy efficiency, which are contained in the state energy conservation plan issued in compliance with the Energy Policy and Conservation Act (42 U.S.C. 6201). Contractor must</w:t>
      </w:r>
      <w:r w:rsidRPr="00CA1535">
        <w:rPr>
          <w:rFonts w:ascii="Times New Roman" w:hAnsi="Times New Roman"/>
          <w:b/>
          <w:sz w:val="22"/>
          <w:szCs w:val="22"/>
        </w:rPr>
        <w:t xml:space="preserve"> </w:t>
      </w:r>
      <w:r w:rsidRPr="00CA1535">
        <w:rPr>
          <w:rFonts w:ascii="Times New Roman" w:hAnsi="Times New Roman"/>
          <w:sz w:val="22"/>
          <w:szCs w:val="22"/>
        </w:rPr>
        <w:t>include this provision in all contracts between itself and any subcontractors in connection with the services performed under this Contract.</w:t>
      </w:r>
    </w:p>
    <w:p w14:paraId="7F2FFCCC" w14:textId="77777777" w:rsidR="00DD6D54" w:rsidRPr="00CA1535" w:rsidRDefault="00DD6D54" w:rsidP="00DD6D54">
      <w:pPr>
        <w:tabs>
          <w:tab w:val="left" w:pos="-720"/>
        </w:tabs>
        <w:suppressAutoHyphens/>
        <w:spacing w:before="200" w:after="200" w:line="276" w:lineRule="auto"/>
        <w:ind w:left="360"/>
        <w:jc w:val="both"/>
        <w:outlineLvl w:val="0"/>
        <w:rPr>
          <w:rFonts w:ascii="Times New Roman" w:hAnsi="Times New Roman"/>
          <w:b/>
          <w:bCs/>
          <w:sz w:val="22"/>
          <w:szCs w:val="22"/>
        </w:rPr>
      </w:pPr>
      <w:r w:rsidRPr="00CA1535">
        <w:rPr>
          <w:rFonts w:ascii="Times New Roman" w:hAnsi="Times New Roman"/>
          <w:b/>
          <w:bCs/>
          <w:sz w:val="22"/>
          <w:szCs w:val="22"/>
        </w:rPr>
        <w:t>EQUAL EMPLOYMENT OPPORTUNITY (41 CFR 60-1.4(b) and 2 CFR 200 APPENDIX II (C))</w:t>
      </w:r>
    </w:p>
    <w:p w14:paraId="6F0213F8" w14:textId="77777777"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Contractor must comply with, and incorporate or cause to be incorporated into any contract for construction work, or modification thereof, the Equal Employment Opportunity provisions as follows:</w:t>
      </w:r>
    </w:p>
    <w:p w14:paraId="3DC506A8" w14:textId="77777777"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During the performance of this contract, the contractor agrees as follows:</w:t>
      </w:r>
    </w:p>
    <w:p w14:paraId="4A9D34B8" w14:textId="77777777" w:rsidR="00DD6D54" w:rsidRPr="00CA1535" w:rsidRDefault="00DD6D54" w:rsidP="00BC1B3F">
      <w:pPr>
        <w:pStyle w:val="ListParagraph"/>
        <w:numPr>
          <w:ilvl w:val="0"/>
          <w:numId w:val="50"/>
        </w:numPr>
        <w:spacing w:before="200" w:after="200" w:line="276" w:lineRule="auto"/>
        <w:contextualSpacing w:val="0"/>
        <w:jc w:val="both"/>
        <w:rPr>
          <w:rFonts w:ascii="Times New Roman" w:hAnsi="Times New Roman"/>
          <w:sz w:val="22"/>
          <w:szCs w:val="22"/>
        </w:rPr>
      </w:pPr>
      <w:r w:rsidRPr="00CA1535">
        <w:rPr>
          <w:rFonts w:ascii="Times New Roman" w:hAnsi="Times New Roman"/>
          <w:sz w:val="22"/>
          <w:szCs w:val="22"/>
        </w:rPr>
        <w:t>The contractor will not discriminate against any employee or applicant for employment because of race, color, religion, sex, sexual orientation, gender identity, or national origin. The contractor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w:t>
      </w:r>
    </w:p>
    <w:p w14:paraId="0BFC60F2" w14:textId="77777777" w:rsidR="00DD6D54" w:rsidRPr="00CA1535" w:rsidRDefault="00DD6D54" w:rsidP="00DD6D54">
      <w:pPr>
        <w:pStyle w:val="ListParagraph"/>
        <w:tabs>
          <w:tab w:val="left" w:pos="-720"/>
        </w:tabs>
        <w:suppressAutoHyphens/>
        <w:spacing w:before="200" w:after="200" w:line="276" w:lineRule="auto"/>
        <w:ind w:left="1080"/>
        <w:contextualSpacing w:val="0"/>
        <w:jc w:val="both"/>
        <w:outlineLvl w:val="0"/>
        <w:rPr>
          <w:rFonts w:ascii="Times New Roman" w:hAnsi="Times New Roman"/>
          <w:sz w:val="22"/>
          <w:szCs w:val="22"/>
        </w:rPr>
      </w:pPr>
      <w:r w:rsidRPr="00CA1535">
        <w:rPr>
          <w:rFonts w:ascii="Times New Roman" w:hAnsi="Times New Roman"/>
          <w:sz w:val="22"/>
          <w:szCs w:val="22"/>
        </w:rPr>
        <w:t>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setting forth the provisions of this nondiscrimination clause.</w:t>
      </w:r>
    </w:p>
    <w:p w14:paraId="6C1FDF2E" w14:textId="77777777" w:rsidR="00DD6D54" w:rsidRPr="00CA1535" w:rsidRDefault="00DD6D54" w:rsidP="00BC1B3F">
      <w:pPr>
        <w:pStyle w:val="ListParagraph"/>
        <w:numPr>
          <w:ilvl w:val="0"/>
          <w:numId w:val="50"/>
        </w:numPr>
        <w:tabs>
          <w:tab w:val="left" w:pos="-720"/>
        </w:tabs>
        <w:suppressAutoHyphens/>
        <w:spacing w:before="200" w:after="200" w:line="276" w:lineRule="auto"/>
        <w:contextualSpacing w:val="0"/>
        <w:jc w:val="both"/>
        <w:outlineLvl w:val="0"/>
        <w:rPr>
          <w:rFonts w:ascii="Times New Roman" w:hAnsi="Times New Roman"/>
          <w:sz w:val="22"/>
          <w:szCs w:val="22"/>
        </w:rPr>
      </w:pPr>
      <w:r w:rsidRPr="00CA1535">
        <w:rPr>
          <w:rFonts w:ascii="Times New Roman" w:hAnsi="Times New Roman"/>
          <w:sz w:val="22"/>
          <w:szCs w:val="22"/>
        </w:rPr>
        <w:t>The contractor will, in all solicitations or advertisements for employees placed by or on behalf of the contractor, state that all qualified applicants will receive consideration for employment without regard to race, color, religion, sex, sexual orientation, gender identity, or national origin.</w:t>
      </w:r>
    </w:p>
    <w:p w14:paraId="1DC1DB8D" w14:textId="77777777" w:rsidR="00DD6D54" w:rsidRPr="00CA1535" w:rsidRDefault="00DD6D54" w:rsidP="00BC1B3F">
      <w:pPr>
        <w:pStyle w:val="ListParagraph"/>
        <w:numPr>
          <w:ilvl w:val="0"/>
          <w:numId w:val="50"/>
        </w:numPr>
        <w:tabs>
          <w:tab w:val="left" w:pos="-720"/>
        </w:tabs>
        <w:suppressAutoHyphens/>
        <w:spacing w:before="200" w:after="200" w:line="276" w:lineRule="auto"/>
        <w:contextualSpacing w:val="0"/>
        <w:jc w:val="both"/>
        <w:outlineLvl w:val="0"/>
        <w:rPr>
          <w:rFonts w:ascii="Times New Roman" w:hAnsi="Times New Roman"/>
          <w:sz w:val="22"/>
          <w:szCs w:val="22"/>
        </w:rPr>
      </w:pPr>
      <w:r w:rsidRPr="00CA1535">
        <w:rPr>
          <w:rFonts w:ascii="Times New Roman" w:hAnsi="Times New Roman"/>
          <w:sz w:val="22"/>
          <w:szCs w:val="22"/>
        </w:rPr>
        <w:lastRenderedPageBreak/>
        <w:t>The contractor will not discharge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14:paraId="3110832B" w14:textId="77777777" w:rsidR="00DD6D54" w:rsidRPr="00CA1535" w:rsidRDefault="00DD6D54" w:rsidP="00BC1B3F">
      <w:pPr>
        <w:pStyle w:val="ListParagraph"/>
        <w:numPr>
          <w:ilvl w:val="0"/>
          <w:numId w:val="50"/>
        </w:numPr>
        <w:tabs>
          <w:tab w:val="left" w:pos="-720"/>
        </w:tabs>
        <w:suppressAutoHyphens/>
        <w:spacing w:before="200" w:after="200" w:line="276" w:lineRule="auto"/>
        <w:contextualSpacing w:val="0"/>
        <w:jc w:val="both"/>
        <w:outlineLvl w:val="0"/>
        <w:rPr>
          <w:rFonts w:ascii="Times New Roman" w:hAnsi="Times New Roman"/>
          <w:sz w:val="22"/>
          <w:szCs w:val="22"/>
        </w:rPr>
      </w:pPr>
      <w:r w:rsidRPr="00CA1535">
        <w:rPr>
          <w:rFonts w:ascii="Times New Roman" w:hAnsi="Times New Roman"/>
          <w:sz w:val="22"/>
          <w:szCs w:val="22"/>
        </w:rPr>
        <w:t>The contractor will send to each labor union or representative of workers with which he has a collective bargaining agreement or other contract or understanding, a notice to be provided advising the said labor union or workers' representatives of the contractor's commitments under this section, and shall post copies of the notice in conspicuous places available to employees and applicants for employment.</w:t>
      </w:r>
    </w:p>
    <w:p w14:paraId="6184E561" w14:textId="77777777" w:rsidR="00DD6D54" w:rsidRPr="00CA1535" w:rsidRDefault="00DD6D54" w:rsidP="00BC1B3F">
      <w:pPr>
        <w:pStyle w:val="ListParagraph"/>
        <w:numPr>
          <w:ilvl w:val="0"/>
          <w:numId w:val="50"/>
        </w:numPr>
        <w:tabs>
          <w:tab w:val="left" w:pos="-720"/>
        </w:tabs>
        <w:suppressAutoHyphens/>
        <w:spacing w:before="200" w:after="200" w:line="276" w:lineRule="auto"/>
        <w:contextualSpacing w:val="0"/>
        <w:jc w:val="both"/>
        <w:outlineLvl w:val="0"/>
        <w:rPr>
          <w:rFonts w:ascii="Times New Roman" w:hAnsi="Times New Roman"/>
          <w:sz w:val="22"/>
          <w:szCs w:val="22"/>
        </w:rPr>
      </w:pPr>
      <w:r w:rsidRPr="00CA1535">
        <w:rPr>
          <w:rFonts w:ascii="Times New Roman" w:hAnsi="Times New Roman"/>
          <w:sz w:val="22"/>
          <w:szCs w:val="22"/>
        </w:rPr>
        <w:t>The contractor will comply with all provisions of Executive Order 11246 of September 24, 1965, and of the rules, regulations, and relevant orders of the Secretary of Labor.</w:t>
      </w:r>
    </w:p>
    <w:p w14:paraId="4260B57F" w14:textId="77777777" w:rsidR="00DD6D54" w:rsidRPr="00CA1535" w:rsidRDefault="00DD6D54" w:rsidP="00BC1B3F">
      <w:pPr>
        <w:pStyle w:val="ListParagraph"/>
        <w:numPr>
          <w:ilvl w:val="0"/>
          <w:numId w:val="50"/>
        </w:numPr>
        <w:tabs>
          <w:tab w:val="left" w:pos="-720"/>
        </w:tabs>
        <w:suppressAutoHyphens/>
        <w:spacing w:before="200" w:after="200" w:line="276" w:lineRule="auto"/>
        <w:contextualSpacing w:val="0"/>
        <w:jc w:val="both"/>
        <w:outlineLvl w:val="0"/>
        <w:rPr>
          <w:rFonts w:ascii="Times New Roman" w:hAnsi="Times New Roman"/>
          <w:sz w:val="22"/>
          <w:szCs w:val="22"/>
        </w:rPr>
      </w:pPr>
      <w:r w:rsidRPr="00CA1535">
        <w:rPr>
          <w:rFonts w:ascii="Times New Roman" w:hAnsi="Times New Roman"/>
          <w:sz w:val="22"/>
          <w:szCs w:val="22"/>
        </w:rPr>
        <w:t>The contractor will furnish all information and reports required by Executive Order 11246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w:t>
      </w:r>
    </w:p>
    <w:p w14:paraId="131F9B43" w14:textId="77777777" w:rsidR="00DD6D54" w:rsidRPr="00CA1535" w:rsidRDefault="00DD6D54" w:rsidP="00BC1B3F">
      <w:pPr>
        <w:pStyle w:val="ListParagraph"/>
        <w:numPr>
          <w:ilvl w:val="0"/>
          <w:numId w:val="50"/>
        </w:numPr>
        <w:tabs>
          <w:tab w:val="left" w:pos="-720"/>
        </w:tabs>
        <w:suppressAutoHyphens/>
        <w:spacing w:before="200" w:after="200" w:line="276" w:lineRule="auto"/>
        <w:contextualSpacing w:val="0"/>
        <w:jc w:val="both"/>
        <w:outlineLvl w:val="0"/>
        <w:rPr>
          <w:rFonts w:ascii="Times New Roman" w:hAnsi="Times New Roman"/>
          <w:sz w:val="22"/>
          <w:szCs w:val="22"/>
        </w:rPr>
      </w:pPr>
      <w:r w:rsidRPr="00CA1535">
        <w:rPr>
          <w:rFonts w:ascii="Times New Roman" w:hAnsi="Times New Roman"/>
          <w:sz w:val="22"/>
          <w:szCs w:val="22"/>
        </w:rPr>
        <w:t>In the event of the contractor's noncompliance with the nondiscrimination clauses of this contract or with any of the said rules, regulations, or orders, this contract may be canceled, terminated, or suspended in whole or in part and the contractor may be declared ineligible for further Government contracts or federally assisted construction contracts in accordance with procedures authorized in Executive Order 11246 of September 24, 1965, and such other sanctions may be imposed and remedies invoked as provided in Executive Order 11246 of September 24, 1965, or by rule, regulation, or order of the Secretary of Labor, or as otherwise provided by law.</w:t>
      </w:r>
    </w:p>
    <w:p w14:paraId="3E940FD0" w14:textId="77777777" w:rsidR="00DD6D54" w:rsidRPr="00CA1535" w:rsidRDefault="00DD6D54" w:rsidP="00BC1B3F">
      <w:pPr>
        <w:pStyle w:val="ListParagraph"/>
        <w:numPr>
          <w:ilvl w:val="0"/>
          <w:numId w:val="50"/>
        </w:numPr>
        <w:tabs>
          <w:tab w:val="left" w:pos="-720"/>
        </w:tabs>
        <w:suppressAutoHyphens/>
        <w:spacing w:before="200" w:after="200" w:line="276" w:lineRule="auto"/>
        <w:contextualSpacing w:val="0"/>
        <w:jc w:val="both"/>
        <w:outlineLvl w:val="0"/>
        <w:rPr>
          <w:rFonts w:ascii="Times New Roman" w:hAnsi="Times New Roman"/>
          <w:sz w:val="22"/>
          <w:szCs w:val="22"/>
        </w:rPr>
      </w:pPr>
      <w:r w:rsidRPr="00CA1535">
        <w:rPr>
          <w:rFonts w:ascii="Times New Roman" w:hAnsi="Times New Roman"/>
          <w:sz w:val="22"/>
          <w:szCs w:val="22"/>
        </w:rPr>
        <w:t>The contractor will include the portion of the sentence immediately preceding paragraph (1) and the provisions of paragraphs (1) through (8) in every subcontract or purchase order unless exempted by rules, regulations, or orders of the Secretary of Labor issued pursuant to section 204 of Executive Order 11246 of September 24, 1965, so that such provisions will be binding upon each subcontractor or vendor. The contractor will take such action with respect to any subcontract or purchase order as the administering agency may direct as a means of enforcing such provisions, including sanctions for noncompliance:</w:t>
      </w:r>
    </w:p>
    <w:p w14:paraId="512F7A6D" w14:textId="77777777" w:rsidR="00DD6D54" w:rsidRPr="00CA1535" w:rsidRDefault="00DD6D54" w:rsidP="00DD6D54">
      <w:pPr>
        <w:pStyle w:val="ListParagraph"/>
        <w:tabs>
          <w:tab w:val="left" w:pos="-720"/>
        </w:tabs>
        <w:suppressAutoHyphens/>
        <w:spacing w:before="200" w:after="200" w:line="276" w:lineRule="auto"/>
        <w:ind w:left="360"/>
        <w:contextualSpacing w:val="0"/>
        <w:jc w:val="both"/>
        <w:outlineLvl w:val="0"/>
        <w:rPr>
          <w:rFonts w:ascii="Times New Roman" w:hAnsi="Times New Roman"/>
          <w:sz w:val="22"/>
          <w:szCs w:val="22"/>
        </w:rPr>
      </w:pPr>
      <w:r w:rsidRPr="00CA1535">
        <w:rPr>
          <w:rFonts w:ascii="Times New Roman" w:hAnsi="Times New Roman"/>
          <w:sz w:val="22"/>
          <w:szCs w:val="22"/>
        </w:rPr>
        <w:t>Provided, however, that in the event a contractor becomes involved in, or is threatened with, litigation with a subcontractor or vendor as a result of such direction by the administering agency, the contractor may request the United States to enter into such litigation to protect the interests of the United States.</w:t>
      </w:r>
    </w:p>
    <w:p w14:paraId="2578759A" w14:textId="38563199" w:rsidR="00DD6D54" w:rsidRPr="00CA1535" w:rsidRDefault="00DD6D54" w:rsidP="00DD6D54">
      <w:pPr>
        <w:pStyle w:val="ListParagraph"/>
        <w:tabs>
          <w:tab w:val="left" w:pos="-720"/>
        </w:tabs>
        <w:suppressAutoHyphens/>
        <w:spacing w:before="200" w:after="200" w:line="276" w:lineRule="auto"/>
        <w:ind w:left="360"/>
        <w:contextualSpacing w:val="0"/>
        <w:jc w:val="both"/>
        <w:outlineLvl w:val="0"/>
        <w:rPr>
          <w:rFonts w:ascii="Times New Roman" w:hAnsi="Times New Roman"/>
          <w:sz w:val="22"/>
          <w:szCs w:val="22"/>
        </w:rPr>
      </w:pPr>
      <w:r w:rsidRPr="00CA1535">
        <w:rPr>
          <w:rFonts w:ascii="Times New Roman" w:hAnsi="Times New Roman"/>
          <w:sz w:val="22"/>
          <w:szCs w:val="22"/>
        </w:rPr>
        <w:t xml:space="preserve">The </w:t>
      </w:r>
      <w:r w:rsidR="00990895" w:rsidRPr="00CA1535">
        <w:rPr>
          <w:rFonts w:ascii="Times New Roman" w:hAnsi="Times New Roman"/>
          <w:sz w:val="22"/>
          <w:szCs w:val="22"/>
        </w:rPr>
        <w:t>Contractor</w:t>
      </w:r>
      <w:r w:rsidRPr="00CA1535">
        <w:rPr>
          <w:rFonts w:ascii="Times New Roman" w:hAnsi="Times New Roman"/>
          <w:sz w:val="22"/>
          <w:szCs w:val="22"/>
        </w:rPr>
        <w:t xml:space="preserve"> further agrees that it will be bound by the above equal opportunity clause with respect to its own employment practices when it participates in federally assisted construction work: Provided, That if the </w:t>
      </w:r>
      <w:r w:rsidR="00990895" w:rsidRPr="00CA1535">
        <w:rPr>
          <w:rFonts w:ascii="Times New Roman" w:hAnsi="Times New Roman"/>
          <w:sz w:val="22"/>
          <w:szCs w:val="22"/>
        </w:rPr>
        <w:t xml:space="preserve">Contractor </w:t>
      </w:r>
      <w:r w:rsidRPr="00CA1535">
        <w:rPr>
          <w:rFonts w:ascii="Times New Roman" w:hAnsi="Times New Roman"/>
          <w:sz w:val="22"/>
          <w:szCs w:val="22"/>
        </w:rPr>
        <w:t xml:space="preserve">so participating is a State or local government, the above equal opportunity clause is not applicable </w:t>
      </w:r>
      <w:r w:rsidRPr="00CA1535">
        <w:rPr>
          <w:rFonts w:ascii="Times New Roman" w:hAnsi="Times New Roman"/>
          <w:sz w:val="22"/>
          <w:szCs w:val="22"/>
        </w:rPr>
        <w:lastRenderedPageBreak/>
        <w:t>to any agency, instrumentality or subdivision of such government which does not participate in work on or under the contract.</w:t>
      </w:r>
    </w:p>
    <w:p w14:paraId="19444BCC" w14:textId="317D3C0F" w:rsidR="00DD6D54" w:rsidRPr="00CA1535" w:rsidRDefault="00DD6D54" w:rsidP="00DD6D54">
      <w:pPr>
        <w:pStyle w:val="ListParagraph"/>
        <w:tabs>
          <w:tab w:val="left" w:pos="-720"/>
        </w:tabs>
        <w:suppressAutoHyphens/>
        <w:spacing w:before="200" w:after="200" w:line="276" w:lineRule="auto"/>
        <w:ind w:left="360"/>
        <w:contextualSpacing w:val="0"/>
        <w:jc w:val="both"/>
        <w:outlineLvl w:val="0"/>
        <w:rPr>
          <w:rFonts w:ascii="Times New Roman" w:hAnsi="Times New Roman"/>
          <w:sz w:val="22"/>
          <w:szCs w:val="22"/>
        </w:rPr>
      </w:pPr>
      <w:r w:rsidRPr="00CA1535">
        <w:rPr>
          <w:rFonts w:ascii="Times New Roman" w:hAnsi="Times New Roman"/>
          <w:sz w:val="22"/>
          <w:szCs w:val="22"/>
        </w:rPr>
        <w:t xml:space="preserve">The </w:t>
      </w:r>
      <w:r w:rsidR="00990895" w:rsidRPr="00CA1535">
        <w:rPr>
          <w:rFonts w:ascii="Times New Roman" w:hAnsi="Times New Roman"/>
          <w:sz w:val="22"/>
          <w:szCs w:val="22"/>
        </w:rPr>
        <w:t xml:space="preserve">Contractor </w:t>
      </w:r>
      <w:r w:rsidRPr="00CA1535">
        <w:rPr>
          <w:rFonts w:ascii="Times New Roman" w:hAnsi="Times New Roman"/>
          <w:sz w:val="22"/>
          <w:szCs w:val="22"/>
        </w:rPr>
        <w:t>agrees that it will assist and cooperate actively with the administering agency and the Secretary of Labor in obtaining the compliance of contractors and subcontractors with the equal opportunity clause and the rules, regulations, and relevant orders of the Secretary of Labor, that it will furnish the administering agency and the Secretary of Labor such information as they may require for the supervision of such compliance, and that it will otherwise assist the administering agency in the discharge of the agency's primary responsibility for securing compliance.</w:t>
      </w:r>
    </w:p>
    <w:p w14:paraId="6C1C8316" w14:textId="6EE20B3D" w:rsidR="00DD6D54" w:rsidRPr="00CA1535" w:rsidRDefault="00DD6D54" w:rsidP="00DD6D54">
      <w:pPr>
        <w:pStyle w:val="ListParagraph"/>
        <w:tabs>
          <w:tab w:val="left" w:pos="-720"/>
        </w:tabs>
        <w:suppressAutoHyphens/>
        <w:spacing w:before="200" w:after="200" w:line="276" w:lineRule="auto"/>
        <w:ind w:left="360"/>
        <w:contextualSpacing w:val="0"/>
        <w:jc w:val="both"/>
        <w:outlineLvl w:val="0"/>
        <w:rPr>
          <w:rFonts w:ascii="Times New Roman" w:hAnsi="Times New Roman"/>
          <w:sz w:val="22"/>
          <w:szCs w:val="22"/>
        </w:rPr>
      </w:pPr>
      <w:r w:rsidRPr="00CA1535">
        <w:rPr>
          <w:rFonts w:ascii="Times New Roman" w:hAnsi="Times New Roman"/>
          <w:sz w:val="22"/>
          <w:szCs w:val="22"/>
        </w:rPr>
        <w:t xml:space="preserve">The </w:t>
      </w:r>
      <w:r w:rsidR="00990895" w:rsidRPr="00CA1535">
        <w:rPr>
          <w:rFonts w:ascii="Times New Roman" w:hAnsi="Times New Roman"/>
          <w:sz w:val="22"/>
          <w:szCs w:val="22"/>
        </w:rPr>
        <w:t xml:space="preserve">Contractor </w:t>
      </w:r>
      <w:r w:rsidRPr="00CA1535">
        <w:rPr>
          <w:rFonts w:ascii="Times New Roman" w:hAnsi="Times New Roman"/>
          <w:sz w:val="22"/>
          <w:szCs w:val="22"/>
        </w:rPr>
        <w:t xml:space="preserve">further agrees that it will refrain from entering into any contract or contract modification subject to Executive Order 11246 of September 24, 1965, with a contractor debarred from, or who has not demonstrated eligibility for, Government contracts and federally assisted construction contracts pursuant to the Executive Order and will carry out such sanctions and penalties for violation of the equal opportunity clause as may be imposed upon contractors and subcontractors by the administering agency or the Secretary of Labor pursuant to Part II, Subpart D of the Executive Order. In addition, the </w:t>
      </w:r>
      <w:r w:rsidR="00990895" w:rsidRPr="00CA1535">
        <w:rPr>
          <w:rFonts w:ascii="Times New Roman" w:hAnsi="Times New Roman"/>
          <w:sz w:val="22"/>
          <w:szCs w:val="22"/>
        </w:rPr>
        <w:t xml:space="preserve">Contractor </w:t>
      </w:r>
      <w:r w:rsidRPr="00CA1535">
        <w:rPr>
          <w:rFonts w:ascii="Times New Roman" w:hAnsi="Times New Roman"/>
          <w:sz w:val="22"/>
          <w:szCs w:val="22"/>
        </w:rPr>
        <w:t xml:space="preserve">agrees that if it fails or refuses to comply with these undertakings, the administering agency may take any or all of the following actions: Cancel, terminate, or suspend in whole or in part this grant (contract, loan, insurance, guarantee); refrain from extending any further assistance to the </w:t>
      </w:r>
      <w:r w:rsidR="00990895" w:rsidRPr="00CA1535">
        <w:rPr>
          <w:rFonts w:ascii="Times New Roman" w:hAnsi="Times New Roman"/>
          <w:sz w:val="22"/>
          <w:szCs w:val="22"/>
        </w:rPr>
        <w:t xml:space="preserve">Contractor </w:t>
      </w:r>
      <w:r w:rsidRPr="00CA1535">
        <w:rPr>
          <w:rFonts w:ascii="Times New Roman" w:hAnsi="Times New Roman"/>
          <w:sz w:val="22"/>
          <w:szCs w:val="22"/>
        </w:rPr>
        <w:t xml:space="preserve">under the program with respect to which the failure or refund occurred until satisfactory assurance of future compliance has been received from such </w:t>
      </w:r>
      <w:r w:rsidR="003D5923" w:rsidRPr="00CA1535">
        <w:rPr>
          <w:rFonts w:ascii="Times New Roman" w:hAnsi="Times New Roman"/>
          <w:sz w:val="22"/>
          <w:szCs w:val="22"/>
        </w:rPr>
        <w:t>Contractor</w:t>
      </w:r>
      <w:r w:rsidRPr="00CA1535">
        <w:rPr>
          <w:rFonts w:ascii="Times New Roman" w:hAnsi="Times New Roman"/>
          <w:sz w:val="22"/>
          <w:szCs w:val="22"/>
        </w:rPr>
        <w:t>; and refer the case to the Department of Justice for appropriate legal proceedings.</w:t>
      </w:r>
    </w:p>
    <w:p w14:paraId="1CDDC2C1" w14:textId="5FEE843F" w:rsidR="00DD6D54" w:rsidRPr="00CA1535" w:rsidRDefault="00DD6D54" w:rsidP="00DD6D54">
      <w:pPr>
        <w:pStyle w:val="ListParagraph"/>
        <w:tabs>
          <w:tab w:val="left" w:pos="-720"/>
        </w:tabs>
        <w:suppressAutoHyphens/>
        <w:spacing w:before="200" w:after="200" w:line="276" w:lineRule="auto"/>
        <w:ind w:left="360"/>
        <w:contextualSpacing w:val="0"/>
        <w:jc w:val="both"/>
        <w:outlineLvl w:val="0"/>
        <w:rPr>
          <w:rFonts w:ascii="Times New Roman" w:hAnsi="Times New Roman"/>
          <w:sz w:val="22"/>
          <w:szCs w:val="22"/>
        </w:rPr>
      </w:pPr>
      <w:r w:rsidRPr="00CA1535">
        <w:rPr>
          <w:rFonts w:ascii="Times New Roman" w:hAnsi="Times New Roman"/>
          <w:sz w:val="22"/>
          <w:szCs w:val="22"/>
        </w:rPr>
        <w:t>Contractor must include the equal opportunity clause in each of its nonexempt subcontracts, and to require all non-exempt subcontractors to include the equal opportunity clause in each of its nonexempt subcontracts.</w:t>
      </w:r>
    </w:p>
    <w:p w14:paraId="02851EFD" w14:textId="77777777" w:rsidR="00DD6D54" w:rsidRPr="00CA1535" w:rsidRDefault="00DD6D54" w:rsidP="00DD6D54">
      <w:pPr>
        <w:tabs>
          <w:tab w:val="left" w:pos="-720"/>
        </w:tabs>
        <w:suppressAutoHyphens/>
        <w:spacing w:before="200" w:after="200" w:line="276" w:lineRule="auto"/>
        <w:ind w:left="360"/>
        <w:jc w:val="both"/>
        <w:rPr>
          <w:rFonts w:ascii="Times New Roman" w:hAnsi="Times New Roman"/>
          <w:b/>
          <w:bCs/>
          <w:sz w:val="22"/>
          <w:szCs w:val="22"/>
        </w:rPr>
      </w:pPr>
      <w:bookmarkStart w:id="2" w:name="_Hlk532401669"/>
      <w:r w:rsidRPr="00CA1535">
        <w:rPr>
          <w:rFonts w:ascii="Times New Roman" w:hAnsi="Times New Roman"/>
          <w:b/>
          <w:bCs/>
          <w:sz w:val="22"/>
          <w:szCs w:val="22"/>
        </w:rPr>
        <w:t>EQUAL EMPLOYMENT OPPORTUNITY FOR WORKERS WITH DISABILITIES (48 CFR 52.222-36)</w:t>
      </w:r>
    </w:p>
    <w:p w14:paraId="48027E37" w14:textId="77777777"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 xml:space="preserve">During the performance of this contract, the Contractor must comply with required Equal Employment Opportunity for Workers with Disabilities provisions. </w:t>
      </w:r>
    </w:p>
    <w:p w14:paraId="22B0E791" w14:textId="77777777" w:rsidR="00DD6D54" w:rsidRPr="00CA1535" w:rsidRDefault="00DD6D54" w:rsidP="00DD6D54">
      <w:pPr>
        <w:tabs>
          <w:tab w:val="left" w:pos="-720"/>
        </w:tabs>
        <w:suppressAutoHyphens/>
        <w:spacing w:before="200" w:after="200" w:line="276" w:lineRule="auto"/>
        <w:ind w:left="360"/>
        <w:jc w:val="both"/>
        <w:outlineLvl w:val="0"/>
        <w:rPr>
          <w:rFonts w:ascii="Times New Roman" w:hAnsi="Times New Roman"/>
          <w:bCs/>
          <w:sz w:val="22"/>
          <w:szCs w:val="22"/>
        </w:rPr>
      </w:pPr>
      <w:r w:rsidRPr="00CA1535">
        <w:rPr>
          <w:rFonts w:ascii="Times New Roman" w:hAnsi="Times New Roman"/>
          <w:bCs/>
          <w:sz w:val="22"/>
          <w:szCs w:val="22"/>
        </w:rPr>
        <w:t>Contractor shall include the following equal opportunity clause in each of its covered Government contracts or subcontracts (and modifications, renewals, or extensions thereof if not included in the original contract):</w:t>
      </w:r>
    </w:p>
    <w:p w14:paraId="77B05926" w14:textId="77777777" w:rsidR="00DD6D54" w:rsidRPr="00CA1535" w:rsidRDefault="00DD6D54" w:rsidP="00BC1B3F">
      <w:pPr>
        <w:pStyle w:val="ListParagraph"/>
        <w:numPr>
          <w:ilvl w:val="0"/>
          <w:numId w:val="49"/>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Equal opportunity clause. The Contractor shall abide by the requirements of the equal opportunity clause at 41 CFR 60-741.5(a), as of March 24, 2014. This clause prohibits discrimination against qualified individuals on the basis of disability, and requires affirmative action by the Contractor to employ and advance in employment qualified individuals with disabilities.</w:t>
      </w:r>
    </w:p>
    <w:p w14:paraId="4358FED7" w14:textId="77777777" w:rsidR="00DD6D54" w:rsidRPr="00CA1535" w:rsidRDefault="00DD6D54" w:rsidP="00BC1B3F">
      <w:pPr>
        <w:pStyle w:val="ListParagraph"/>
        <w:numPr>
          <w:ilvl w:val="0"/>
          <w:numId w:val="49"/>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Subcontracts. The Contractor shall include the terms of this clause in every subcontract or purchase order in excess of $15,000 unless exempted by rules, regulations, or orders of the Secretary, so that such provisions will be binding upon each subcontractor or vendor. The Contractor shall act as specified by the Director, Office of Federal Contract Compliance Programs of the U.S. Department of Labor, to enforce the terms, including action for noncompliance. Such necessary changes in language may be made as shall be appropriate to identify properly the parties and their undertakings.</w:t>
      </w:r>
    </w:p>
    <w:p w14:paraId="483557A5" w14:textId="77777777" w:rsidR="00DD6D54" w:rsidRPr="00CA1535" w:rsidRDefault="00DD6D54" w:rsidP="00DD6D54">
      <w:pPr>
        <w:tabs>
          <w:tab w:val="left" w:pos="-720"/>
        </w:tabs>
        <w:suppressAutoHyphens/>
        <w:spacing w:before="200" w:after="200" w:line="276" w:lineRule="auto"/>
        <w:ind w:left="360"/>
        <w:jc w:val="both"/>
        <w:outlineLvl w:val="0"/>
        <w:rPr>
          <w:rFonts w:ascii="Times New Roman" w:hAnsi="Times New Roman"/>
          <w:b/>
          <w:bCs/>
          <w:sz w:val="22"/>
          <w:szCs w:val="22"/>
        </w:rPr>
      </w:pPr>
      <w:r w:rsidRPr="00CA1535">
        <w:rPr>
          <w:rFonts w:ascii="Times New Roman" w:hAnsi="Times New Roman"/>
          <w:b/>
          <w:bCs/>
          <w:sz w:val="22"/>
          <w:szCs w:val="22"/>
        </w:rPr>
        <w:lastRenderedPageBreak/>
        <w:t xml:space="preserve">EQUAL EMPLOYMENT OPPORTUNITY </w:t>
      </w:r>
      <w:r w:rsidRPr="00CA1535">
        <w:rPr>
          <w:b/>
          <w:caps/>
          <w:sz w:val="22"/>
          <w:szCs w:val="22"/>
          <w:lang w:val="x-none"/>
        </w:rPr>
        <w:t>for VEVRAA Protected Veterans</w:t>
      </w:r>
      <w:r w:rsidRPr="00CA1535">
        <w:rPr>
          <w:b/>
          <w:caps/>
          <w:sz w:val="22"/>
          <w:szCs w:val="22"/>
        </w:rPr>
        <w:t xml:space="preserve"> </w:t>
      </w:r>
      <w:bookmarkStart w:id="3" w:name="_Hlk532231986"/>
      <w:r w:rsidRPr="00CA1535">
        <w:rPr>
          <w:b/>
          <w:caps/>
          <w:sz w:val="22"/>
          <w:szCs w:val="22"/>
        </w:rPr>
        <w:t>(41 cfr 60.300)</w:t>
      </w:r>
      <w:bookmarkEnd w:id="3"/>
    </w:p>
    <w:p w14:paraId="4170311A" w14:textId="77777777"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 xml:space="preserve">Harris County is an equal opportunity employer of protected veterans. During the performance of this contract, the Contractor must comply with required Equal Employment Opportunity for VEVRAA Protected Veterans provisions. </w:t>
      </w:r>
    </w:p>
    <w:p w14:paraId="08189C53" w14:textId="77777777" w:rsidR="00DD6D54" w:rsidRPr="00CA1535" w:rsidRDefault="00DD6D54" w:rsidP="00DD6D54">
      <w:pPr>
        <w:tabs>
          <w:tab w:val="left" w:pos="-720"/>
        </w:tabs>
        <w:suppressAutoHyphens/>
        <w:spacing w:before="200" w:after="200" w:line="276" w:lineRule="auto"/>
        <w:ind w:left="360"/>
        <w:jc w:val="both"/>
        <w:outlineLvl w:val="0"/>
        <w:rPr>
          <w:rFonts w:ascii="Times New Roman" w:hAnsi="Times New Roman"/>
          <w:bCs/>
          <w:sz w:val="22"/>
          <w:szCs w:val="22"/>
        </w:rPr>
      </w:pPr>
      <w:r w:rsidRPr="00CA1535">
        <w:rPr>
          <w:rFonts w:ascii="Times New Roman" w:hAnsi="Times New Roman"/>
          <w:bCs/>
          <w:sz w:val="22"/>
          <w:szCs w:val="22"/>
        </w:rPr>
        <w:t>Contractor shall include the following equal opportunity clause in each of its covered Government contracts or subcontracts (and modifications, renewals, or extensions thereof if not included in the original contract):</w:t>
      </w:r>
    </w:p>
    <w:p w14:paraId="3331C284" w14:textId="77777777" w:rsidR="00DD6D54" w:rsidRPr="00CA1535" w:rsidRDefault="00DD6D54" w:rsidP="00BC1B3F">
      <w:pPr>
        <w:pStyle w:val="ListParagraph"/>
        <w:numPr>
          <w:ilvl w:val="0"/>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The definitions set forth in 41 CFR 60-300.2 apply to the terms used throughout this Clause, and they are incorporated herein by reference.</w:t>
      </w:r>
    </w:p>
    <w:p w14:paraId="17001BCC" w14:textId="77777777" w:rsidR="00DD6D54" w:rsidRPr="00CA1535" w:rsidRDefault="00DD6D54" w:rsidP="00BC1B3F">
      <w:pPr>
        <w:pStyle w:val="ListParagraph"/>
        <w:numPr>
          <w:ilvl w:val="0"/>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The contractor shall not discriminate against any employee or applicant for employment because he or she is a disabled veteran, recently separated veteran, active duty wartime or campaign badge veteran, or Armed Forces service medal veteran (hereinafter collectively referred to as “protected veteran(s)”) in regard to any position for which the employee or applicant for employment is qualified. The contractor agrees to take affirmative action to employ, advance in employment and otherwise treat qualified individuals without discrimination based on their status as a protected veteran in all employment practices, including the following:</w:t>
      </w:r>
    </w:p>
    <w:p w14:paraId="7A370C6A" w14:textId="77777777" w:rsidR="00DD6D54" w:rsidRPr="00CA1535" w:rsidRDefault="00DD6D54" w:rsidP="00BC1B3F">
      <w:pPr>
        <w:pStyle w:val="ListParagraph"/>
        <w:numPr>
          <w:ilvl w:val="1"/>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Recruitment, advertising, and job application procedures.</w:t>
      </w:r>
    </w:p>
    <w:p w14:paraId="2CE43E43" w14:textId="77777777" w:rsidR="00DD6D54" w:rsidRPr="00CA1535" w:rsidRDefault="00DD6D54" w:rsidP="00BC1B3F">
      <w:pPr>
        <w:pStyle w:val="ListParagraph"/>
        <w:numPr>
          <w:ilvl w:val="1"/>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Hiring, upgrading, promotion, award of tenure, demotion, transfer, layoff, termination, right of return from layoff and rehiring.</w:t>
      </w:r>
    </w:p>
    <w:p w14:paraId="4B355EA4" w14:textId="77777777" w:rsidR="00DD6D54" w:rsidRPr="00CA1535" w:rsidRDefault="00DD6D54" w:rsidP="00BC1B3F">
      <w:pPr>
        <w:pStyle w:val="ListParagraph"/>
        <w:numPr>
          <w:ilvl w:val="1"/>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Rates of pay or any other form of compensation and changes in compensation.</w:t>
      </w:r>
    </w:p>
    <w:p w14:paraId="597C8C4C" w14:textId="77777777" w:rsidR="00DD6D54" w:rsidRPr="00CA1535" w:rsidRDefault="00DD6D54" w:rsidP="00BC1B3F">
      <w:pPr>
        <w:pStyle w:val="ListParagraph"/>
        <w:numPr>
          <w:ilvl w:val="1"/>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Job assignments, job classifications, organizational structures, position descriptions, lines of progression, and seniority lists.</w:t>
      </w:r>
    </w:p>
    <w:p w14:paraId="1A1F2DD5" w14:textId="77777777" w:rsidR="00DD6D54" w:rsidRPr="00CA1535" w:rsidRDefault="00DD6D54" w:rsidP="00BC1B3F">
      <w:pPr>
        <w:pStyle w:val="ListParagraph"/>
        <w:numPr>
          <w:ilvl w:val="1"/>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Leaves of absence, sick leave, or any other leave.</w:t>
      </w:r>
    </w:p>
    <w:p w14:paraId="392DFF46" w14:textId="77777777" w:rsidR="00DD6D54" w:rsidRPr="00CA1535" w:rsidRDefault="00DD6D54" w:rsidP="00BC1B3F">
      <w:pPr>
        <w:pStyle w:val="ListParagraph"/>
        <w:numPr>
          <w:ilvl w:val="1"/>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Fringe benefits available by virtue of employment, whether or not administered by the contractor.</w:t>
      </w:r>
    </w:p>
    <w:p w14:paraId="34A6F16E" w14:textId="77777777" w:rsidR="00DD6D54" w:rsidRPr="00CA1535" w:rsidRDefault="00DD6D54" w:rsidP="00BC1B3F">
      <w:pPr>
        <w:pStyle w:val="ListParagraph"/>
        <w:numPr>
          <w:ilvl w:val="1"/>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Selection and financial support for training, including apprenticeship, and on-the-job training under 38 U.S.C. 3687, professional meetings, conferences, and other related activities, and selection for leaves of absence to pursue training.</w:t>
      </w:r>
    </w:p>
    <w:p w14:paraId="0388CA01" w14:textId="77777777" w:rsidR="00DD6D54" w:rsidRPr="00CA1535" w:rsidRDefault="00DD6D54" w:rsidP="00BC1B3F">
      <w:pPr>
        <w:pStyle w:val="ListParagraph"/>
        <w:numPr>
          <w:ilvl w:val="1"/>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Activities sponsored by the contractor including social or recreational programs.</w:t>
      </w:r>
    </w:p>
    <w:p w14:paraId="31BA2EF4" w14:textId="77777777" w:rsidR="00DD6D54" w:rsidRPr="00CA1535" w:rsidRDefault="00DD6D54" w:rsidP="00BC1B3F">
      <w:pPr>
        <w:pStyle w:val="ListParagraph"/>
        <w:numPr>
          <w:ilvl w:val="1"/>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Any other term, condition, or privilege of employment.</w:t>
      </w:r>
    </w:p>
    <w:p w14:paraId="4EA80F05" w14:textId="77777777" w:rsidR="00DD6D54" w:rsidRPr="00CA1535" w:rsidRDefault="00DD6D54" w:rsidP="00BC1B3F">
      <w:pPr>
        <w:pStyle w:val="ListParagraph"/>
        <w:numPr>
          <w:ilvl w:val="0"/>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 xml:space="preserve">The contractor shall immediately list all employment openings which exist at the time of the execution of this contract and those which occur during the performance of this contract, including those not generated by this contract and including those occurring at an establishment of the contractor other than the one where the contract is being performed, but excluding those of independently operated corporate </w:t>
      </w:r>
      <w:r w:rsidRPr="00CA1535">
        <w:rPr>
          <w:rFonts w:ascii="Times New Roman" w:hAnsi="Times New Roman"/>
          <w:bCs/>
          <w:sz w:val="22"/>
          <w:szCs w:val="22"/>
        </w:rPr>
        <w:lastRenderedPageBreak/>
        <w:t>affiliates, with the appropriate employment service delivery system where the opening occurs. Listing employment openings with the state workforce agency job bank or with the local employment service delivery system where the opening occurs will satisfy the requirement to list jobs with the appropriate employment service delivery system. In order to satisfy the listing requirement described herein, contractors must provide information about the job vacancy in any manner and format permitted by the appropriate employment service delivery system which will allow that system to provide priority referral of veterans protected by VEVRAA for that job vacancy. Providing information on employment openings to a privately run job service or exchange will satisfy the contractor's listing obligation if the privately run job service or exchange provides the information to the appropriate employment service delivery system in any manner and format that the employment service delivery system permits which will allow that system to provide priority referral of protected veterans.</w:t>
      </w:r>
    </w:p>
    <w:p w14:paraId="20551E7E" w14:textId="77777777" w:rsidR="00DD6D54" w:rsidRPr="00CA1535" w:rsidRDefault="00DD6D54" w:rsidP="00BC1B3F">
      <w:pPr>
        <w:pStyle w:val="ListParagraph"/>
        <w:numPr>
          <w:ilvl w:val="0"/>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Listing of employment openings with the appropriate employment service delivery system pursuant to this clause shall be made at least concurrently with the use of any other recruitment source or effort and shall involve the normal obligations which attach to the placing of a bona fide job order, including the acceptance of referrals of veterans and nonveterans. The listing of employment openings does not require the hiring of any particular job applicants or from any particular group of job applicants, and nothing herein is intended to relieve the contractor from any requirements in Executive orders or regulations regarding nondiscrimination in employment.</w:t>
      </w:r>
    </w:p>
    <w:p w14:paraId="7C7F7BEC" w14:textId="77777777" w:rsidR="00DD6D54" w:rsidRPr="00CA1535" w:rsidRDefault="00DD6D54" w:rsidP="00BC1B3F">
      <w:pPr>
        <w:pStyle w:val="ListParagraph"/>
        <w:numPr>
          <w:ilvl w:val="0"/>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Whenever a contractor, other than a state or local governmental contractor, becomes contractually bound to the listing provisions in paragraphs 2 and 3 of this clause, it shall advise the employment service delivery system in each state where it has establishments that: (a) It is a Federal contractor, so that the employment service delivery systems are able to identify them as such; and (b) it desires priority referrals from the state of protected veterans for job openings at all locations within the state. The contractor shall also provide to the employment service delivery system the name and location of each hiring location within the state and the contact information for the contractor official responsible for hiring at each location. The “contractor official” may be a chief hiring official, a Human Resources contact, a senior management contact, or any other manager for the contractor that can verify the information set forth in the job listing and receive priority referrals from employment service delivery systems. In the event that the contractor uses any external job search organizations to assist in its hiring, the contractor shall also provide to the employment service delivery system the contact information for the job search organization(s). The disclosures required by this paragraph shall be made simultaneously with the contractor's first job listing at each employment service delivery system location after the effective date of this final rule. Should any of the information in the disclosures change since it was last reported to the employment service delivery system location, the contractor shall provide updated information simultaneously with its next job listing. As long as the contractor is contractually bound to these provisions and has so advised the employment service delivery system, there is no need to advise the employment service delivery system of subsequent contracts. The contractor may advise the employment service delivery system when it is no longer bound by this contract clause.</w:t>
      </w:r>
    </w:p>
    <w:p w14:paraId="41C1F6C2" w14:textId="77777777" w:rsidR="00DD6D54" w:rsidRPr="00CA1535" w:rsidRDefault="00DD6D54" w:rsidP="00BC1B3F">
      <w:pPr>
        <w:pStyle w:val="ListParagraph"/>
        <w:numPr>
          <w:ilvl w:val="0"/>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The provisions of paragraphs 2 and 3 of this clause do not apply to the listing of employment openings which occur and are filled outside of the 50 states, the District of Columbia, the Commonwealth of Puerto Rico, Guam, the Virgin Islands, American Samoa, the Commonwealth of the Northern Mariana Islands, Wake Island, and the Trust Territories of the Pacific Islands.</w:t>
      </w:r>
    </w:p>
    <w:p w14:paraId="49244B37" w14:textId="77777777" w:rsidR="00DD6D54" w:rsidRPr="00CA1535" w:rsidRDefault="00DD6D54" w:rsidP="00BC1B3F">
      <w:pPr>
        <w:pStyle w:val="ListParagraph"/>
        <w:numPr>
          <w:ilvl w:val="0"/>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lastRenderedPageBreak/>
        <w:t xml:space="preserve">As used in this clause: </w:t>
      </w:r>
    </w:p>
    <w:p w14:paraId="1066558D" w14:textId="77777777" w:rsidR="00DD6D54" w:rsidRPr="00CA1535" w:rsidRDefault="00DD6D54" w:rsidP="00BC1B3F">
      <w:pPr>
        <w:pStyle w:val="ListParagraph"/>
        <w:numPr>
          <w:ilvl w:val="1"/>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All employment openings includes all positions except executive and senior management, those positions that will be filled from within the contractor's organization, and positions lasting three days or less. This term includes full-time employment, temporary employment of more than three days' duration, and part-time employment.</w:t>
      </w:r>
    </w:p>
    <w:p w14:paraId="40ECAA29" w14:textId="77777777" w:rsidR="00DD6D54" w:rsidRPr="00CA1535" w:rsidRDefault="00DD6D54" w:rsidP="00BC1B3F">
      <w:pPr>
        <w:pStyle w:val="ListParagraph"/>
        <w:numPr>
          <w:ilvl w:val="1"/>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Executive and senior management means: (1) Any employee (a) compensated on a salary basis at a rate of not less than $455 per week (or $380 per week, if employed in American Samoa by employers other than the Federal Government), exclusive of board, lodging or other facilities; (b) whose primary duty is management of the enterprise in which the employee is employed or of a customarily recognized department or subdivision thereof; (c) who customarily and regularly directs the work of two or more other employees; and (d) who has the authority to hire or fire other employees or whose suggestions and recommendations as to the hiring, firing, advancement, promotion or any other change of status of other employees are given particular weight; or (2) any employee who owns at least a bona fide 20-percent equity interest in the enterprise in which the employee is employed, regardless of whether the business is a corporate or other type of organization, and who is actively engaged in its management.</w:t>
      </w:r>
    </w:p>
    <w:p w14:paraId="5248B99D" w14:textId="77777777" w:rsidR="00DD6D54" w:rsidRPr="00CA1535" w:rsidRDefault="00DD6D54" w:rsidP="00BC1B3F">
      <w:pPr>
        <w:pStyle w:val="ListParagraph"/>
        <w:numPr>
          <w:ilvl w:val="1"/>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Positions that will be filled from within the contractor's organization means employment openings for which no consideration will be given to persons outside the contractor's organization (including any affiliates, subsidiaries, and parent companies) and includes any openings which the contractor proposes to fill from regularly established “recall” lists. The exception does not apply to a particular opening once an employer decides to consider applicants outside of his or her own organization.</w:t>
      </w:r>
    </w:p>
    <w:p w14:paraId="4B05AA41" w14:textId="77777777" w:rsidR="00DD6D54" w:rsidRPr="00CA1535" w:rsidRDefault="00DD6D54" w:rsidP="00BC1B3F">
      <w:pPr>
        <w:pStyle w:val="ListParagraph"/>
        <w:numPr>
          <w:ilvl w:val="0"/>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The contractor shall comply with the rules, regulations, and relevant orders of the Secretary of Labor issued pursuant to the Act.</w:t>
      </w:r>
    </w:p>
    <w:p w14:paraId="336160DF" w14:textId="77777777" w:rsidR="00DD6D54" w:rsidRPr="00CA1535" w:rsidRDefault="00DD6D54" w:rsidP="00BC1B3F">
      <w:pPr>
        <w:pStyle w:val="ListParagraph"/>
        <w:numPr>
          <w:ilvl w:val="0"/>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In the event of the contractor's noncompliance with the requirements of this clause, actions for noncompliance may be taken in accordance with the rules, regulations, and relevant orders of the Secretary of Labor issued pursuant to the Act.</w:t>
      </w:r>
    </w:p>
    <w:p w14:paraId="39CE1C03" w14:textId="77777777" w:rsidR="00DD6D54" w:rsidRPr="00CA1535" w:rsidRDefault="00DD6D54" w:rsidP="00BC1B3F">
      <w:pPr>
        <w:pStyle w:val="ListParagraph"/>
        <w:numPr>
          <w:ilvl w:val="0"/>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 xml:space="preserve">The contractor agrees to post in conspicuous places, available to employees and applicants for employment, notices in a form to be prescribed by the Director, Office of Federal Contract Compliance Programs, provided by or through the contracting officer. Such notices shall state the rights of applicants and employees as well as the contractor's obligation under the law to take affirmative action to employ and advance in employment qualified employees and applicants who are protected veterans. The contractor must ensure that applicants or employees who are disabled veterans are provided the notice in a form that is accessible and understandable to the disabled veteran (e.g., providing Braille or large print versions of the notice, posting the notice for visual accessibility to persons in wheelchairs, providing the notice electronically or on computer disc, or other versions). With respect to employees who do not work at a physical location of the contractor, a contractor will satisfy its posting obligations by posting such notices in an electronic format, provided that the contractor provides computers that can access the electronic posting to such employees, or the contractor has actual knowledge that such employees otherwise are able to access the electronically posted notices. Electronic notices for </w:t>
      </w:r>
      <w:r w:rsidRPr="00CA1535">
        <w:rPr>
          <w:rFonts w:ascii="Times New Roman" w:hAnsi="Times New Roman"/>
          <w:bCs/>
          <w:sz w:val="22"/>
          <w:szCs w:val="22"/>
        </w:rPr>
        <w:lastRenderedPageBreak/>
        <w:t>employees must be posted in a conspicuous location and format on the company's intranet or sent by electronic mail to employees. An electronic posting must be used by the contractor to notify job applicants of their rights if the contractor utilizes an electronic application process. Such electronic applicant notice must be conspicuously stored with, or as part of, the electronic application.</w:t>
      </w:r>
    </w:p>
    <w:p w14:paraId="33156021" w14:textId="77777777" w:rsidR="00DD6D54" w:rsidRPr="00CA1535" w:rsidRDefault="00DD6D54" w:rsidP="00BC1B3F">
      <w:pPr>
        <w:pStyle w:val="ListParagraph"/>
        <w:numPr>
          <w:ilvl w:val="0"/>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The contractor will notify each labor organization or representative of workers with which it has a collective bargaining agreement or other contract understanding that the contractor is bound by the terms of VEVRAA, and is committed to take affirmative action to employ and advance in employment, and shall not discriminate against, protected veterans.</w:t>
      </w:r>
    </w:p>
    <w:p w14:paraId="56159EF0" w14:textId="77777777" w:rsidR="00DD6D54" w:rsidRPr="00CA1535" w:rsidRDefault="00DD6D54" w:rsidP="00BC1B3F">
      <w:pPr>
        <w:pStyle w:val="ListParagraph"/>
        <w:numPr>
          <w:ilvl w:val="0"/>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The contractor will include the provisions of this clause in every subcontract or purchase order of $100,000 or more, unless exempted by the rules, regulations, or orders of the Secretary issued pursuant to VEVRAA so that such provisions will be binding upon each subcontractor or vendor. The contractor will take such action with respect to any subcontract or purchase order as the Director, Office of Federal Contract Compliance Programs, may direct to enforce such provisions, including action for noncompliance.</w:t>
      </w:r>
    </w:p>
    <w:p w14:paraId="167F4BEF" w14:textId="77777777" w:rsidR="00DD6D54" w:rsidRPr="00CA1535" w:rsidRDefault="00DD6D54" w:rsidP="00BC1B3F">
      <w:pPr>
        <w:pStyle w:val="ListParagraph"/>
        <w:numPr>
          <w:ilvl w:val="0"/>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The contractor must, in all solicitations or advertisements for employees placed by or on behalf of the contractor, state that all qualified applicants will receive consideration for employment without regard to their protected veteran status.</w:t>
      </w:r>
    </w:p>
    <w:p w14:paraId="2C90D522" w14:textId="77777777" w:rsidR="00DD6D54" w:rsidRPr="00CA1535" w:rsidRDefault="00DD6D54" w:rsidP="00BC1B3F">
      <w:pPr>
        <w:pStyle w:val="ListParagraph"/>
        <w:numPr>
          <w:ilvl w:val="0"/>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The Contractor shall forfeit as a penalty to the County who administers the subject Project receiving Federal assistance, Sixty Dollars ($60.00) for each worker, employed for each calendar day, or a portion thereof, such worker is paid less than the said stipulated rates for any work done under this Project, by him/her or by any contractor under him/her.</w:t>
      </w:r>
    </w:p>
    <w:p w14:paraId="4B4D53DD" w14:textId="43B16CD0" w:rsidR="00DD6D54" w:rsidRPr="00CA1535" w:rsidRDefault="00DD6D54" w:rsidP="00BC1B3F">
      <w:pPr>
        <w:pStyle w:val="ListParagraph"/>
        <w:numPr>
          <w:ilvl w:val="0"/>
          <w:numId w:val="46"/>
        </w:numPr>
        <w:tabs>
          <w:tab w:val="left" w:pos="-720"/>
        </w:tabs>
        <w:suppressAutoHyphens/>
        <w:spacing w:before="200" w:after="200" w:line="276" w:lineRule="auto"/>
        <w:contextualSpacing w:val="0"/>
        <w:jc w:val="both"/>
        <w:outlineLvl w:val="0"/>
        <w:rPr>
          <w:rFonts w:ascii="Times New Roman" w:hAnsi="Times New Roman"/>
          <w:bCs/>
          <w:sz w:val="22"/>
          <w:szCs w:val="22"/>
        </w:rPr>
      </w:pPr>
      <w:r w:rsidRPr="00CA1535">
        <w:rPr>
          <w:rFonts w:ascii="Times New Roman" w:hAnsi="Times New Roman"/>
          <w:bCs/>
          <w:sz w:val="22"/>
          <w:szCs w:val="22"/>
        </w:rPr>
        <w:t>All contractors shall keep, or cause to be kept, an accurate record showing the names of all workers, also the actual per diem wages paid to each of such workers.</w:t>
      </w:r>
    </w:p>
    <w:bookmarkEnd w:id="2"/>
    <w:p w14:paraId="70972F4E" w14:textId="5EED7D02" w:rsidR="00DD6D54" w:rsidRPr="00CA1535" w:rsidRDefault="00DD6D54" w:rsidP="00DD6D54">
      <w:pPr>
        <w:tabs>
          <w:tab w:val="left" w:pos="-720"/>
        </w:tabs>
        <w:suppressAutoHyphens/>
        <w:spacing w:before="200" w:after="200" w:line="276" w:lineRule="auto"/>
        <w:ind w:left="360"/>
        <w:jc w:val="both"/>
        <w:outlineLvl w:val="0"/>
        <w:rPr>
          <w:rFonts w:ascii="Times New Roman" w:hAnsi="Times New Roman"/>
          <w:b/>
          <w:bCs/>
          <w:sz w:val="22"/>
          <w:szCs w:val="22"/>
        </w:rPr>
      </w:pPr>
      <w:r w:rsidRPr="00CA1535">
        <w:rPr>
          <w:rFonts w:ascii="Times New Roman" w:hAnsi="Times New Roman"/>
          <w:b/>
          <w:bCs/>
          <w:sz w:val="22"/>
          <w:szCs w:val="22"/>
        </w:rPr>
        <w:t>FAIR LABOR STANDARDS ACT</w:t>
      </w:r>
    </w:p>
    <w:p w14:paraId="72FEC45C" w14:textId="77777777" w:rsidR="00DD6D54" w:rsidRPr="00CA1535" w:rsidRDefault="00DD6D54" w:rsidP="00DD6D54">
      <w:pPr>
        <w:spacing w:before="200" w:after="200" w:line="276" w:lineRule="auto"/>
        <w:ind w:left="360"/>
        <w:jc w:val="both"/>
        <w:rPr>
          <w:rFonts w:ascii="Times New Roman" w:hAnsi="Times New Roman"/>
          <w:color w:val="000000" w:themeColor="text1"/>
          <w:sz w:val="22"/>
          <w:szCs w:val="22"/>
        </w:rPr>
      </w:pPr>
      <w:r w:rsidRPr="00CA1535">
        <w:rPr>
          <w:rFonts w:ascii="Times New Roman" w:hAnsi="Times New Roman"/>
          <w:sz w:val="22"/>
          <w:szCs w:val="22"/>
        </w:rPr>
        <w:t xml:space="preserve">Contractor must comply the </w:t>
      </w:r>
      <w:r w:rsidRPr="00CA1535">
        <w:rPr>
          <w:rFonts w:ascii="Times New Roman" w:hAnsi="Times New Roman"/>
          <w:color w:val="000000" w:themeColor="text1"/>
          <w:sz w:val="22"/>
          <w:szCs w:val="22"/>
        </w:rPr>
        <w:t>Fair Labor Standards Act of 1938 (29 U.S.C. Section 201 et seq.) as now or hereafter amended, which regulates wage, hour and other employment practices that govern the use of funds provided and the employment of personnel under this contract. The Contractor warrants that it will pay all its workers all monies earned by its workers including, but not limited to regular wages, any overtime compensation, or any additional payments pursuant to the Fair Labor Standards Act, 29 United States Code (U.S.C.) Section 207 9a(1), as amended; the Texas Pay Day Act; the Equal Pay Act; Title VII of the Civil Rights Act of 1964, 42 U.S.C. Section 2000, et al., as amended; or any provisions of the Texas Labor Code Ann., as amended.</w:t>
      </w:r>
    </w:p>
    <w:p w14:paraId="32BFF588" w14:textId="77777777" w:rsidR="00DD6D54" w:rsidRPr="00CA1535" w:rsidRDefault="00DD6D54" w:rsidP="00DD6D54">
      <w:pPr>
        <w:tabs>
          <w:tab w:val="left" w:pos="-720"/>
        </w:tabs>
        <w:suppressAutoHyphens/>
        <w:spacing w:before="200" w:after="200" w:line="276" w:lineRule="auto"/>
        <w:ind w:left="360"/>
        <w:jc w:val="both"/>
        <w:outlineLvl w:val="0"/>
        <w:rPr>
          <w:rFonts w:ascii="Times New Roman" w:hAnsi="Times New Roman"/>
          <w:b/>
          <w:bCs/>
          <w:sz w:val="22"/>
          <w:szCs w:val="22"/>
        </w:rPr>
      </w:pPr>
      <w:r w:rsidRPr="00CA1535">
        <w:rPr>
          <w:rFonts w:ascii="Times New Roman" w:hAnsi="Times New Roman"/>
          <w:b/>
          <w:bCs/>
          <w:sz w:val="22"/>
          <w:szCs w:val="22"/>
        </w:rPr>
        <w:t>FLOOD DISASTER PROTECTION ACT OF 1973 (</w:t>
      </w:r>
      <w:r w:rsidRPr="00CA1535">
        <w:rPr>
          <w:rFonts w:ascii="Times New Roman" w:eastAsia="Arial" w:hAnsi="Times New Roman"/>
          <w:b/>
          <w:bCs/>
          <w:sz w:val="22"/>
          <w:szCs w:val="22"/>
        </w:rPr>
        <w:t>24 CFR 570.605)</w:t>
      </w:r>
    </w:p>
    <w:p w14:paraId="093B42D8" w14:textId="77777777" w:rsidR="00DD6D54" w:rsidRPr="00CA1535" w:rsidRDefault="00DD6D54" w:rsidP="00DD6D54">
      <w:pPr>
        <w:tabs>
          <w:tab w:val="left" w:pos="820"/>
        </w:tabs>
        <w:spacing w:before="200" w:after="200" w:line="276" w:lineRule="auto"/>
        <w:ind w:left="360"/>
        <w:jc w:val="both"/>
        <w:rPr>
          <w:rFonts w:ascii="Times New Roman" w:eastAsia="Arial" w:hAnsi="Times New Roman"/>
          <w:sz w:val="22"/>
          <w:szCs w:val="22"/>
        </w:rPr>
      </w:pPr>
      <w:r w:rsidRPr="00CA1535">
        <w:rPr>
          <w:rFonts w:ascii="Times New Roman" w:eastAsia="Arial" w:hAnsi="Times New Roman"/>
          <w:sz w:val="22"/>
          <w:szCs w:val="22"/>
        </w:rPr>
        <w:t>Contractor must comply with the provisions in 24 CFR 570.605, Section 202(a) of the Flood Disaster Protection Act of 1973 (42 U.S.C. 4106), and the regulations in 44 CFR Parts 59-79.</w:t>
      </w:r>
    </w:p>
    <w:p w14:paraId="2B53FA16" w14:textId="77777777" w:rsidR="00C64B31" w:rsidRPr="00CA1535" w:rsidRDefault="00DD6D54" w:rsidP="00DD6D54">
      <w:pPr>
        <w:tabs>
          <w:tab w:val="left" w:pos="-720"/>
        </w:tabs>
        <w:suppressAutoHyphens/>
        <w:spacing w:before="200" w:after="200" w:line="276" w:lineRule="auto"/>
        <w:ind w:left="360"/>
        <w:jc w:val="both"/>
        <w:outlineLvl w:val="0"/>
        <w:rPr>
          <w:rFonts w:ascii="Times New Roman" w:hAnsi="Times New Roman"/>
          <w:b/>
          <w:bCs/>
          <w:sz w:val="22"/>
          <w:szCs w:val="22"/>
        </w:rPr>
      </w:pPr>
      <w:r w:rsidRPr="00CA1535">
        <w:rPr>
          <w:rFonts w:ascii="Times New Roman" w:hAnsi="Times New Roman"/>
          <w:b/>
          <w:bCs/>
          <w:sz w:val="22"/>
          <w:szCs w:val="22"/>
        </w:rPr>
        <w:t xml:space="preserve">GREEN BUILDING STANDARDS </w:t>
      </w:r>
    </w:p>
    <w:p w14:paraId="6706C3B7" w14:textId="3E3EF3F6" w:rsidR="00DD6D54" w:rsidRPr="00CA1535" w:rsidRDefault="00DD6D54" w:rsidP="00DD6D54">
      <w:pPr>
        <w:tabs>
          <w:tab w:val="left" w:pos="-720"/>
        </w:tabs>
        <w:suppressAutoHyphens/>
        <w:spacing w:before="200" w:after="200" w:line="276" w:lineRule="auto"/>
        <w:ind w:left="360"/>
        <w:jc w:val="both"/>
        <w:outlineLvl w:val="0"/>
        <w:rPr>
          <w:rFonts w:ascii="Times New Roman" w:hAnsi="Times New Roman"/>
          <w:sz w:val="22"/>
          <w:szCs w:val="22"/>
        </w:rPr>
      </w:pPr>
      <w:r w:rsidRPr="00CA1535">
        <w:rPr>
          <w:rFonts w:ascii="Times New Roman" w:hAnsi="Times New Roman"/>
          <w:bCs/>
          <w:sz w:val="22"/>
          <w:szCs w:val="22"/>
        </w:rPr>
        <w:lastRenderedPageBreak/>
        <w:t>At a minimum, Contractor</w:t>
      </w:r>
      <w:r w:rsidR="00005417" w:rsidRPr="00CA1535">
        <w:rPr>
          <w:rFonts w:ascii="Times New Roman" w:hAnsi="Times New Roman"/>
          <w:bCs/>
          <w:sz w:val="22"/>
          <w:szCs w:val="22"/>
        </w:rPr>
        <w:t>s</w:t>
      </w:r>
      <w:r w:rsidR="002D0FAE" w:rsidRPr="00CA1535">
        <w:rPr>
          <w:rFonts w:ascii="Times New Roman" w:hAnsi="Times New Roman"/>
          <w:bCs/>
          <w:sz w:val="22"/>
          <w:szCs w:val="22"/>
        </w:rPr>
        <w:t xml:space="preserve"> and subcontractors</w:t>
      </w:r>
      <w:r w:rsidRPr="00CA1535">
        <w:rPr>
          <w:rFonts w:ascii="Times New Roman" w:hAnsi="Times New Roman"/>
          <w:bCs/>
          <w:sz w:val="22"/>
          <w:szCs w:val="22"/>
        </w:rPr>
        <w:t xml:space="preserve"> must comply with local codes and any applicable national building codes for any work involving rehabilitation or construction, including design</w:t>
      </w:r>
      <w:r w:rsidRPr="00CA1535">
        <w:rPr>
          <w:rFonts w:ascii="Times New Roman" w:hAnsi="Times New Roman"/>
          <w:sz w:val="22"/>
          <w:szCs w:val="22"/>
        </w:rPr>
        <w:t xml:space="preserve">. When a contract is funded, in whole or in part, by HUD funding, Contractors must comply with applicable Green Building standards to the maximum extent feasible. Green Building standards may apply to single-family properties, multifamily properties, or both and may include, but are not limited to best practices defined under LEED, Enterprise Green Communities, or NAHB National Green Building Standards and may include specific measures for water conservation, energy efficiency, and indoor air quality. </w:t>
      </w:r>
      <w:r w:rsidR="002D0FAE" w:rsidRPr="00CA1535">
        <w:rPr>
          <w:rFonts w:ascii="Times New Roman" w:hAnsi="Times New Roman"/>
          <w:sz w:val="22"/>
          <w:szCs w:val="22"/>
        </w:rPr>
        <w:t>Contractor and subcontractors</w:t>
      </w:r>
      <w:r w:rsidRPr="00CA1535">
        <w:rPr>
          <w:rFonts w:ascii="Times New Roman" w:hAnsi="Times New Roman"/>
          <w:sz w:val="22"/>
          <w:szCs w:val="22"/>
        </w:rPr>
        <w:t xml:space="preserve"> must</w:t>
      </w:r>
      <w:r w:rsidRPr="00CA1535">
        <w:rPr>
          <w:rFonts w:ascii="Times New Roman" w:hAnsi="Times New Roman"/>
          <w:b/>
          <w:sz w:val="22"/>
          <w:szCs w:val="22"/>
        </w:rPr>
        <w:t xml:space="preserve"> </w:t>
      </w:r>
      <w:r w:rsidRPr="00CA1535">
        <w:rPr>
          <w:rFonts w:ascii="Times New Roman" w:hAnsi="Times New Roman"/>
          <w:sz w:val="22"/>
          <w:szCs w:val="22"/>
        </w:rPr>
        <w:t>comply with the following standards, as applicable:</w:t>
      </w:r>
    </w:p>
    <w:p w14:paraId="098F32AD" w14:textId="77777777" w:rsidR="00DD6D54" w:rsidRPr="00CA1535" w:rsidRDefault="00DD6D54" w:rsidP="00BC1B3F">
      <w:pPr>
        <w:pStyle w:val="ListParagraph"/>
        <w:numPr>
          <w:ilvl w:val="0"/>
          <w:numId w:val="19"/>
        </w:numPr>
        <w:tabs>
          <w:tab w:val="left" w:pos="-720"/>
        </w:tabs>
        <w:suppressAutoHyphens/>
        <w:spacing w:before="200" w:after="200" w:line="276" w:lineRule="auto"/>
        <w:jc w:val="both"/>
        <w:outlineLvl w:val="0"/>
        <w:rPr>
          <w:rFonts w:ascii="Times New Roman" w:hAnsi="Times New Roman"/>
          <w:sz w:val="22"/>
          <w:szCs w:val="22"/>
        </w:rPr>
      </w:pPr>
      <w:r w:rsidRPr="00CA1535">
        <w:rPr>
          <w:rFonts w:ascii="Times New Roman" w:hAnsi="Times New Roman"/>
          <w:sz w:val="22"/>
          <w:szCs w:val="22"/>
        </w:rPr>
        <w:t xml:space="preserve">2009 ICC International Energy Conservation Code (IECC) </w:t>
      </w:r>
    </w:p>
    <w:p w14:paraId="5597DF9A" w14:textId="77777777" w:rsidR="00DD6D54" w:rsidRPr="00CA1535" w:rsidRDefault="00DD6D54" w:rsidP="00BC1B3F">
      <w:pPr>
        <w:pStyle w:val="ListParagraph"/>
        <w:numPr>
          <w:ilvl w:val="0"/>
          <w:numId w:val="19"/>
        </w:numPr>
        <w:tabs>
          <w:tab w:val="left" w:pos="-720"/>
        </w:tabs>
        <w:suppressAutoHyphens/>
        <w:spacing w:before="200" w:after="200" w:line="276" w:lineRule="auto"/>
        <w:jc w:val="both"/>
        <w:outlineLvl w:val="0"/>
        <w:rPr>
          <w:rFonts w:ascii="Times New Roman" w:hAnsi="Times New Roman"/>
          <w:sz w:val="22"/>
          <w:szCs w:val="22"/>
        </w:rPr>
      </w:pPr>
      <w:r w:rsidRPr="00CA1535">
        <w:rPr>
          <w:rFonts w:ascii="Times New Roman" w:hAnsi="Times New Roman"/>
          <w:sz w:val="22"/>
          <w:szCs w:val="22"/>
        </w:rPr>
        <w:t xml:space="preserve">ASHRAE 90.1-2007, which sets minimum energy standards for buildings except low-rise residential buildings </w:t>
      </w:r>
    </w:p>
    <w:p w14:paraId="3E69FF19" w14:textId="77777777" w:rsidR="00DD6D54" w:rsidRPr="00CA1535" w:rsidRDefault="00DD6D54" w:rsidP="00BC1B3F">
      <w:pPr>
        <w:pStyle w:val="ListParagraph"/>
        <w:numPr>
          <w:ilvl w:val="0"/>
          <w:numId w:val="19"/>
        </w:numPr>
        <w:tabs>
          <w:tab w:val="left" w:pos="-720"/>
        </w:tabs>
        <w:suppressAutoHyphens/>
        <w:spacing w:before="200" w:after="200" w:line="276" w:lineRule="auto"/>
        <w:jc w:val="both"/>
        <w:outlineLvl w:val="0"/>
        <w:rPr>
          <w:rFonts w:ascii="Times New Roman" w:hAnsi="Times New Roman"/>
          <w:sz w:val="22"/>
          <w:szCs w:val="22"/>
        </w:rPr>
      </w:pPr>
      <w:r w:rsidRPr="00CA1535">
        <w:rPr>
          <w:rFonts w:ascii="Times New Roman" w:hAnsi="Times New Roman"/>
          <w:sz w:val="22"/>
          <w:szCs w:val="22"/>
        </w:rPr>
        <w:t xml:space="preserve">ASHRAE 62.1-2010 and 62.2-2010, which set minimum standards for ventilation for indoor air quality for common areas in mid- and high-rise buildings, and low-rise residential buildings, respectively. </w:t>
      </w:r>
    </w:p>
    <w:p w14:paraId="036C27FF" w14:textId="77777777" w:rsidR="00DD6D54" w:rsidRPr="00CA1535" w:rsidRDefault="00DD6D54" w:rsidP="00BC1B3F">
      <w:pPr>
        <w:pStyle w:val="ListParagraph"/>
        <w:numPr>
          <w:ilvl w:val="0"/>
          <w:numId w:val="19"/>
        </w:numPr>
        <w:tabs>
          <w:tab w:val="left" w:pos="-720"/>
        </w:tabs>
        <w:suppressAutoHyphens/>
        <w:spacing w:before="200" w:after="200" w:line="276" w:lineRule="auto"/>
        <w:jc w:val="both"/>
        <w:outlineLvl w:val="0"/>
        <w:rPr>
          <w:rFonts w:ascii="Times New Roman" w:hAnsi="Times New Roman"/>
          <w:sz w:val="22"/>
          <w:szCs w:val="22"/>
        </w:rPr>
      </w:pPr>
      <w:r w:rsidRPr="00CA1535">
        <w:rPr>
          <w:rFonts w:ascii="Times New Roman" w:hAnsi="Times New Roman"/>
          <w:sz w:val="22"/>
          <w:szCs w:val="22"/>
        </w:rPr>
        <w:t xml:space="preserve">New or replacement residential housing, when funded by CDBG-DR grants, must adhere to Green Building standards, including Energy Star Certified Homes or Energy Star for Multifamily High Rise and other applicable green building requirements. </w:t>
      </w:r>
    </w:p>
    <w:p w14:paraId="674700CE" w14:textId="77777777" w:rsidR="00DD6D54" w:rsidRPr="00CA1535" w:rsidRDefault="00DD6D54" w:rsidP="00BC1B3F">
      <w:pPr>
        <w:pStyle w:val="ListParagraph"/>
        <w:numPr>
          <w:ilvl w:val="0"/>
          <w:numId w:val="19"/>
        </w:numPr>
        <w:tabs>
          <w:tab w:val="left" w:pos="-720"/>
        </w:tabs>
        <w:suppressAutoHyphens/>
        <w:spacing w:before="200" w:after="200" w:line="276" w:lineRule="auto"/>
        <w:jc w:val="both"/>
        <w:outlineLvl w:val="0"/>
        <w:rPr>
          <w:rFonts w:ascii="Times New Roman" w:hAnsi="Times New Roman"/>
          <w:sz w:val="22"/>
          <w:szCs w:val="22"/>
        </w:rPr>
      </w:pPr>
      <w:r w:rsidRPr="00CA1535">
        <w:rPr>
          <w:rFonts w:ascii="Times New Roman" w:hAnsi="Times New Roman"/>
          <w:sz w:val="22"/>
          <w:szCs w:val="22"/>
        </w:rPr>
        <w:t>Moderate residential housing rehabilitation, when funded by CDBG-DR grants, must comply with the Community Planning &amp; Development (CPD) Retrofit Checklist and provide Energy Star appliances, Water Sense or FEMP products if replaced.</w:t>
      </w:r>
    </w:p>
    <w:p w14:paraId="29F6CE42" w14:textId="1DB26CFA" w:rsidR="00DD6D54" w:rsidRPr="00CA1535" w:rsidRDefault="00DD6D54" w:rsidP="00DD6D54">
      <w:pPr>
        <w:pStyle w:val="ListParagraph"/>
        <w:numPr>
          <w:ilvl w:val="0"/>
          <w:numId w:val="11"/>
        </w:numPr>
        <w:tabs>
          <w:tab w:val="left" w:pos="-720"/>
        </w:tabs>
        <w:suppressAutoHyphens/>
        <w:spacing w:before="200" w:after="200" w:line="276" w:lineRule="auto"/>
        <w:contextualSpacing w:val="0"/>
        <w:jc w:val="both"/>
        <w:outlineLvl w:val="0"/>
        <w:rPr>
          <w:bCs/>
          <w:sz w:val="22"/>
          <w:szCs w:val="22"/>
        </w:rPr>
      </w:pPr>
      <w:r w:rsidRPr="00CA1535">
        <w:rPr>
          <w:bCs/>
          <w:sz w:val="22"/>
          <w:szCs w:val="22"/>
        </w:rPr>
        <w:t xml:space="preserve">New or replacement residential housing, when funded by CDBG-DR grants, must adhere to Green Building standards, including Energy Star Certified Homes or Energy Star for Multifamily High Rise and other applicable green building requirements. </w:t>
      </w:r>
    </w:p>
    <w:p w14:paraId="7C537145" w14:textId="77777777" w:rsidR="00DD6D54" w:rsidRPr="00CA1535" w:rsidRDefault="00DD6D54" w:rsidP="00DD6D54">
      <w:pPr>
        <w:tabs>
          <w:tab w:val="left" w:pos="-720"/>
        </w:tabs>
        <w:suppressAutoHyphens/>
        <w:spacing w:before="200" w:after="200" w:line="276" w:lineRule="auto"/>
        <w:ind w:left="360"/>
        <w:jc w:val="both"/>
        <w:outlineLvl w:val="0"/>
        <w:rPr>
          <w:rFonts w:ascii="Times New Roman" w:hAnsi="Times New Roman"/>
          <w:sz w:val="22"/>
          <w:szCs w:val="22"/>
        </w:rPr>
      </w:pPr>
      <w:r w:rsidRPr="00CA1535">
        <w:rPr>
          <w:rFonts w:ascii="Times New Roman" w:hAnsi="Times New Roman"/>
          <w:b/>
          <w:bCs/>
          <w:sz w:val="22"/>
          <w:szCs w:val="22"/>
        </w:rPr>
        <w:t>HOLD HARMLESS AGREEMENT</w:t>
      </w:r>
    </w:p>
    <w:p w14:paraId="282D6638" w14:textId="77777777" w:rsidR="00DD6D54" w:rsidRPr="00CA1535" w:rsidRDefault="00DD6D54" w:rsidP="00DD6D54">
      <w:pPr>
        <w:tabs>
          <w:tab w:val="left" w:pos="-720"/>
        </w:tabs>
        <w:suppressAutoHyphens/>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Contractor shall indemnify, defend, and hold harmless Harris County from all claims for personal injury, death and/or property damage resulting directly or indirectly from contractor's performance. Contractor shall procure and maintain, with respect to the subject matter of this Invitation for Bids, appropriate insurance coverage  including, at a minimum, public liability and property damage with adequate limits to cover contractor's liability as may arise directly or indirectly from work performed under terms of this Invitation for Bids. Certification of such coverage must be provided to the County upon request.</w:t>
      </w:r>
    </w:p>
    <w:p w14:paraId="70B73973" w14:textId="77777777" w:rsidR="00DD6D54" w:rsidRPr="00CA1535" w:rsidRDefault="00DD6D54" w:rsidP="00DD6D54">
      <w:pPr>
        <w:tabs>
          <w:tab w:val="left" w:pos="-720"/>
        </w:tabs>
        <w:suppressAutoHyphens/>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The Federal Government is not a party to this contract and is not subject to any obligations or liabilities to the non-Federal entity, contractor, or any other party pertaining to any matter resulting from the contract.</w:t>
      </w:r>
    </w:p>
    <w:p w14:paraId="4023D914" w14:textId="77777777" w:rsidR="00DD6D54" w:rsidRPr="00CA1535" w:rsidRDefault="00DD6D54" w:rsidP="00DD6D54">
      <w:pPr>
        <w:tabs>
          <w:tab w:val="left" w:pos="820"/>
        </w:tabs>
        <w:spacing w:before="200" w:after="200" w:line="276" w:lineRule="auto"/>
        <w:ind w:left="360"/>
        <w:jc w:val="both"/>
        <w:rPr>
          <w:rFonts w:ascii="Times New Roman" w:eastAsia="Arial" w:hAnsi="Times New Roman"/>
          <w:b/>
          <w:bCs/>
          <w:sz w:val="22"/>
          <w:szCs w:val="22"/>
        </w:rPr>
      </w:pPr>
      <w:r w:rsidRPr="00CA1535">
        <w:rPr>
          <w:rFonts w:ascii="Times New Roman" w:eastAsia="Arial" w:hAnsi="Times New Roman"/>
          <w:b/>
          <w:bCs/>
          <w:sz w:val="22"/>
          <w:szCs w:val="22"/>
        </w:rPr>
        <w:t>LEAD-BASED PAINT (24 CFR 570.608)</w:t>
      </w:r>
    </w:p>
    <w:p w14:paraId="3A4BA81C" w14:textId="1A81E71D" w:rsidR="00DD6D54" w:rsidRPr="00CA1535" w:rsidRDefault="00DD6D54" w:rsidP="00DD6D54">
      <w:pPr>
        <w:tabs>
          <w:tab w:val="left" w:pos="820"/>
        </w:tabs>
        <w:spacing w:before="200" w:after="200" w:line="276" w:lineRule="auto"/>
        <w:ind w:left="360"/>
        <w:jc w:val="both"/>
        <w:rPr>
          <w:rFonts w:ascii="Times New Roman" w:eastAsia="Arial" w:hAnsi="Times New Roman"/>
          <w:sz w:val="22"/>
          <w:szCs w:val="22"/>
        </w:rPr>
      </w:pPr>
      <w:r w:rsidRPr="00CA1535">
        <w:rPr>
          <w:rFonts w:ascii="Times New Roman" w:eastAsia="Arial" w:hAnsi="Times New Roman"/>
          <w:sz w:val="22"/>
          <w:szCs w:val="22"/>
        </w:rPr>
        <w:t xml:space="preserve">Contractor </w:t>
      </w:r>
      <w:r w:rsidR="00105D18" w:rsidRPr="00CA1535">
        <w:rPr>
          <w:rFonts w:ascii="Times New Roman" w:eastAsia="Arial" w:hAnsi="Times New Roman"/>
          <w:sz w:val="22"/>
          <w:szCs w:val="22"/>
        </w:rPr>
        <w:t xml:space="preserve">and subcontractors </w:t>
      </w:r>
      <w:r w:rsidRPr="00CA1535">
        <w:rPr>
          <w:rFonts w:ascii="Times New Roman" w:eastAsia="Arial" w:hAnsi="Times New Roman"/>
          <w:sz w:val="22"/>
          <w:szCs w:val="22"/>
        </w:rPr>
        <w:t xml:space="preserve">must comply with the provisions found in 24 CFR 570.608, the Lead-Based Paint Poisoning Prevention Act (42 U.S.C. 4821-4846), the Residential Lead Based Paint Hazard Reduction Act of 1992 (U.S.C. 4851-4856, and 24 CFR Part 35, subparts A, B, J, K, and R. This Article 2(f) is to be included in all subcontracts, for work in connection with this Contract, which relate to residential structures. </w:t>
      </w:r>
    </w:p>
    <w:p w14:paraId="5614A9E8" w14:textId="77777777" w:rsidR="00DD6D54" w:rsidRPr="00CA1535" w:rsidRDefault="00DD6D54" w:rsidP="00DD6D54">
      <w:pPr>
        <w:tabs>
          <w:tab w:val="left" w:pos="820"/>
        </w:tabs>
        <w:spacing w:before="200" w:after="200" w:line="276" w:lineRule="auto"/>
        <w:ind w:left="360"/>
        <w:jc w:val="both"/>
        <w:rPr>
          <w:rFonts w:ascii="Times New Roman" w:eastAsia="Arial" w:hAnsi="Times New Roman"/>
          <w:b/>
          <w:bCs/>
          <w:sz w:val="22"/>
          <w:szCs w:val="22"/>
        </w:rPr>
      </w:pPr>
      <w:r w:rsidRPr="00CA1535">
        <w:rPr>
          <w:rFonts w:ascii="Times New Roman" w:eastAsia="Arial" w:hAnsi="Times New Roman"/>
          <w:b/>
          <w:bCs/>
          <w:sz w:val="22"/>
          <w:szCs w:val="22"/>
        </w:rPr>
        <w:t>NON-COLLUSION (The Sherman Act)</w:t>
      </w:r>
    </w:p>
    <w:p w14:paraId="71C70238" w14:textId="77777777" w:rsidR="00DD6D54" w:rsidRPr="00CA1535" w:rsidRDefault="00DD6D54" w:rsidP="00DD6D54">
      <w:pPr>
        <w:tabs>
          <w:tab w:val="left" w:pos="820"/>
        </w:tabs>
        <w:spacing w:before="200" w:after="200" w:line="276" w:lineRule="auto"/>
        <w:ind w:left="360"/>
        <w:jc w:val="both"/>
        <w:rPr>
          <w:rFonts w:ascii="Times New Roman" w:eastAsia="Arial" w:hAnsi="Times New Roman"/>
          <w:sz w:val="22"/>
          <w:szCs w:val="22"/>
        </w:rPr>
      </w:pPr>
      <w:r w:rsidRPr="00CA1535">
        <w:rPr>
          <w:rFonts w:ascii="Times New Roman" w:eastAsia="Arial" w:hAnsi="Times New Roman"/>
          <w:sz w:val="22"/>
          <w:szCs w:val="22"/>
        </w:rPr>
        <w:lastRenderedPageBreak/>
        <w:t>Contractor must comply with the requirements of The Sherman Act, which prohibit collusion. Collusion occurs when two persons or representatives of an entity or organization make an agreement to deceive or mislead another. Such agreements are usually secretive and involve fraud or gaining an unfair advantage over a third party, competitors, consumers or others with whom they are negotiating. The collusion, therefore, makes the bargaining process inherently unfair. Collusion can involve promises of future benefits, price or wage fixing, kickbacks, or misrepresenting the independence of the relationship between the colluding parties.</w:t>
      </w:r>
    </w:p>
    <w:p w14:paraId="7AAD0F7B" w14:textId="77777777" w:rsidR="00DD6D54" w:rsidRPr="00CA1535" w:rsidRDefault="00DD6D54" w:rsidP="00DD6D54">
      <w:pPr>
        <w:tabs>
          <w:tab w:val="left" w:pos="820"/>
        </w:tabs>
        <w:spacing w:before="200" w:after="200" w:line="276" w:lineRule="auto"/>
        <w:ind w:left="360"/>
        <w:jc w:val="both"/>
        <w:rPr>
          <w:rFonts w:ascii="Times New Roman" w:eastAsia="Arial" w:hAnsi="Times New Roman"/>
          <w:sz w:val="22"/>
          <w:szCs w:val="22"/>
        </w:rPr>
      </w:pPr>
      <w:r w:rsidRPr="00CA1535">
        <w:rPr>
          <w:rFonts w:ascii="Times New Roman" w:eastAsia="Arial" w:hAnsi="Times New Roman"/>
          <w:sz w:val="22"/>
          <w:szCs w:val="22"/>
        </w:rPr>
        <w:t>The Sherman Act prohibits any agreement among competitors to fix prices, rig bids, or engage in other anticompetitive activity. Collusion, bid rigging, or other anticompetitive activity is considered a felony.</w:t>
      </w:r>
    </w:p>
    <w:p w14:paraId="5C37ECAD" w14:textId="77777777" w:rsidR="00DD6D54" w:rsidRPr="00CA1535" w:rsidRDefault="00DD6D54" w:rsidP="00DD6D54">
      <w:pPr>
        <w:tabs>
          <w:tab w:val="left" w:pos="820"/>
        </w:tabs>
        <w:spacing w:before="200" w:after="200" w:line="276" w:lineRule="auto"/>
        <w:ind w:left="360"/>
        <w:jc w:val="both"/>
        <w:rPr>
          <w:rFonts w:ascii="Times New Roman" w:eastAsia="Arial" w:hAnsi="Times New Roman"/>
          <w:sz w:val="22"/>
          <w:szCs w:val="22"/>
        </w:rPr>
      </w:pPr>
      <w:r w:rsidRPr="00CA1535">
        <w:rPr>
          <w:rFonts w:ascii="Times New Roman" w:eastAsia="Arial" w:hAnsi="Times New Roman"/>
          <w:sz w:val="22"/>
          <w:szCs w:val="22"/>
        </w:rPr>
        <w:t xml:space="preserve">Contractor shall not in any way, directly or indirectly: </w:t>
      </w:r>
    </w:p>
    <w:p w14:paraId="687F8096" w14:textId="77777777" w:rsidR="00DD6D54" w:rsidRPr="00CA1535" w:rsidRDefault="00DD6D54" w:rsidP="00DD6D54">
      <w:pPr>
        <w:pStyle w:val="ListParagraph"/>
        <w:numPr>
          <w:ilvl w:val="0"/>
          <w:numId w:val="14"/>
        </w:numPr>
        <w:tabs>
          <w:tab w:val="left" w:pos="820"/>
        </w:tabs>
        <w:spacing w:before="200" w:after="200" w:line="276" w:lineRule="auto"/>
        <w:contextualSpacing w:val="0"/>
        <w:jc w:val="both"/>
        <w:rPr>
          <w:rFonts w:ascii="Times New Roman" w:eastAsia="Arial" w:hAnsi="Times New Roman"/>
          <w:sz w:val="22"/>
          <w:szCs w:val="22"/>
        </w:rPr>
      </w:pPr>
      <w:r w:rsidRPr="00CA1535">
        <w:rPr>
          <w:rFonts w:ascii="Times New Roman" w:eastAsia="Arial" w:hAnsi="Times New Roman"/>
          <w:sz w:val="22"/>
          <w:szCs w:val="22"/>
        </w:rPr>
        <w:t xml:space="preserve">Collude, conspire, or agree with any other person, firm, corporation, </w:t>
      </w:r>
      <w:r w:rsidRPr="00CA1535">
        <w:rPr>
          <w:rFonts w:ascii="Times New Roman" w:hAnsi="Times New Roman"/>
          <w:sz w:val="22"/>
          <w:szCs w:val="22"/>
        </w:rPr>
        <w:t xml:space="preserve">Bidder </w:t>
      </w:r>
      <w:r w:rsidRPr="00CA1535">
        <w:rPr>
          <w:rFonts w:ascii="Times New Roman" w:eastAsia="Arial" w:hAnsi="Times New Roman"/>
          <w:sz w:val="22"/>
          <w:szCs w:val="22"/>
        </w:rPr>
        <w:t xml:space="preserve">or potential </w:t>
      </w:r>
      <w:r w:rsidRPr="00CA1535">
        <w:rPr>
          <w:rFonts w:ascii="Times New Roman" w:hAnsi="Times New Roman"/>
          <w:sz w:val="22"/>
          <w:szCs w:val="22"/>
        </w:rPr>
        <w:t xml:space="preserve">Bidder </w:t>
      </w:r>
      <w:r w:rsidRPr="00CA1535">
        <w:rPr>
          <w:rFonts w:ascii="Times New Roman" w:eastAsia="Arial" w:hAnsi="Times New Roman"/>
          <w:sz w:val="22"/>
          <w:szCs w:val="22"/>
        </w:rPr>
        <w:t xml:space="preserve">to the amount of this Bid or the terms or conditions of this Bid. </w:t>
      </w:r>
    </w:p>
    <w:p w14:paraId="7E74EF3A" w14:textId="77777777" w:rsidR="00DD6D54" w:rsidRPr="00CA1535" w:rsidRDefault="00DD6D54" w:rsidP="00DD6D54">
      <w:pPr>
        <w:pStyle w:val="ListParagraph"/>
        <w:numPr>
          <w:ilvl w:val="0"/>
          <w:numId w:val="14"/>
        </w:numPr>
        <w:tabs>
          <w:tab w:val="left" w:pos="820"/>
        </w:tabs>
        <w:spacing w:before="200" w:after="200" w:line="276" w:lineRule="auto"/>
        <w:contextualSpacing w:val="0"/>
        <w:jc w:val="both"/>
        <w:rPr>
          <w:rFonts w:ascii="Times New Roman" w:eastAsia="Arial" w:hAnsi="Times New Roman"/>
          <w:sz w:val="22"/>
          <w:szCs w:val="22"/>
        </w:rPr>
      </w:pPr>
      <w:r w:rsidRPr="00CA1535">
        <w:rPr>
          <w:rFonts w:ascii="Times New Roman" w:eastAsia="Arial" w:hAnsi="Times New Roman"/>
          <w:sz w:val="22"/>
          <w:szCs w:val="22"/>
        </w:rPr>
        <w:t xml:space="preserve">Pay or agree to pay any other person, firm, corporation </w:t>
      </w:r>
      <w:r w:rsidRPr="00CA1535">
        <w:rPr>
          <w:rFonts w:ascii="Times New Roman" w:hAnsi="Times New Roman"/>
          <w:sz w:val="22"/>
          <w:szCs w:val="22"/>
        </w:rPr>
        <w:t xml:space="preserve">Bidder </w:t>
      </w:r>
      <w:r w:rsidRPr="00CA1535">
        <w:rPr>
          <w:rFonts w:ascii="Times New Roman" w:eastAsia="Arial" w:hAnsi="Times New Roman"/>
          <w:sz w:val="22"/>
          <w:szCs w:val="22"/>
        </w:rPr>
        <w:t xml:space="preserve">or potential </w:t>
      </w:r>
      <w:r w:rsidRPr="00CA1535">
        <w:rPr>
          <w:rFonts w:ascii="Times New Roman" w:hAnsi="Times New Roman"/>
          <w:sz w:val="22"/>
          <w:szCs w:val="22"/>
        </w:rPr>
        <w:t xml:space="preserve">Bidder </w:t>
      </w:r>
      <w:r w:rsidRPr="00CA1535">
        <w:rPr>
          <w:rFonts w:ascii="Times New Roman" w:eastAsia="Arial" w:hAnsi="Times New Roman"/>
          <w:sz w:val="22"/>
          <w:szCs w:val="22"/>
        </w:rPr>
        <w:t xml:space="preserve">any money or anything of value in return for assistance in procuring or attempting to procure a contract or in return for establishing the prices in the attached Bid or the Bid of any other </w:t>
      </w:r>
      <w:r w:rsidRPr="00CA1535">
        <w:rPr>
          <w:rFonts w:ascii="Times New Roman" w:hAnsi="Times New Roman"/>
          <w:sz w:val="22"/>
          <w:szCs w:val="22"/>
        </w:rPr>
        <w:t>Bidder</w:t>
      </w:r>
      <w:r w:rsidRPr="00CA1535">
        <w:rPr>
          <w:rFonts w:ascii="Times New Roman" w:eastAsia="Arial" w:hAnsi="Times New Roman"/>
          <w:sz w:val="22"/>
          <w:szCs w:val="22"/>
        </w:rPr>
        <w:t>.</w:t>
      </w:r>
    </w:p>
    <w:p w14:paraId="670A841F" w14:textId="77777777" w:rsidR="00DD6D54" w:rsidRPr="00CA1535" w:rsidRDefault="00DD6D54" w:rsidP="00DD6D54">
      <w:pPr>
        <w:pStyle w:val="ListParagraph"/>
        <w:numPr>
          <w:ilvl w:val="0"/>
          <w:numId w:val="14"/>
        </w:numPr>
        <w:tabs>
          <w:tab w:val="left" w:pos="820"/>
        </w:tabs>
        <w:spacing w:before="200" w:after="200" w:line="276" w:lineRule="auto"/>
        <w:contextualSpacing w:val="0"/>
        <w:jc w:val="both"/>
        <w:rPr>
          <w:rFonts w:ascii="Times New Roman" w:eastAsia="Arial" w:hAnsi="Times New Roman"/>
          <w:sz w:val="22"/>
          <w:szCs w:val="22"/>
        </w:rPr>
      </w:pPr>
      <w:r w:rsidRPr="00CA1535">
        <w:rPr>
          <w:rFonts w:ascii="Times New Roman" w:eastAsia="Arial" w:hAnsi="Times New Roman"/>
          <w:sz w:val="22"/>
          <w:szCs w:val="22"/>
        </w:rPr>
        <w:t>Assemble in coordination with any other organization in an attempt to fix the price of the work.</w:t>
      </w:r>
    </w:p>
    <w:p w14:paraId="197B8370" w14:textId="6339304B" w:rsidR="00DD6D54" w:rsidRPr="00CA1535" w:rsidRDefault="00DD6D54" w:rsidP="00DD6D54">
      <w:pPr>
        <w:tabs>
          <w:tab w:val="left" w:pos="820"/>
        </w:tabs>
        <w:spacing w:before="200" w:after="200" w:line="276" w:lineRule="auto"/>
        <w:ind w:left="360"/>
        <w:jc w:val="both"/>
        <w:rPr>
          <w:rFonts w:ascii="Times New Roman" w:eastAsia="Arial" w:hAnsi="Times New Roman"/>
          <w:sz w:val="22"/>
          <w:szCs w:val="22"/>
        </w:rPr>
      </w:pPr>
      <w:r w:rsidRPr="00CA1535">
        <w:rPr>
          <w:rFonts w:ascii="Times New Roman" w:eastAsia="Arial" w:hAnsi="Times New Roman"/>
          <w:sz w:val="22"/>
          <w:szCs w:val="22"/>
        </w:rPr>
        <w:t xml:space="preserve">Contractors are expected to report any suspected fraud, collusion, or impropriety from the inception of solicitation through the end of the contract term. </w:t>
      </w:r>
    </w:p>
    <w:p w14:paraId="326E21ED" w14:textId="77777777" w:rsidR="00DD6D54" w:rsidRPr="00CA1535" w:rsidRDefault="00DD6D54" w:rsidP="00DD6D54">
      <w:pPr>
        <w:tabs>
          <w:tab w:val="left" w:pos="820"/>
        </w:tabs>
        <w:spacing w:before="200" w:line="276" w:lineRule="auto"/>
        <w:ind w:left="360"/>
        <w:jc w:val="both"/>
        <w:rPr>
          <w:rFonts w:ascii="Times New Roman" w:eastAsia="Arial" w:hAnsi="Times New Roman"/>
          <w:b/>
          <w:bCs/>
          <w:sz w:val="22"/>
          <w:szCs w:val="22"/>
        </w:rPr>
      </w:pPr>
      <w:r w:rsidRPr="00CA1535">
        <w:rPr>
          <w:rFonts w:ascii="Times New Roman" w:eastAsia="Arial" w:hAnsi="Times New Roman"/>
          <w:b/>
          <w:bCs/>
          <w:sz w:val="22"/>
          <w:szCs w:val="22"/>
        </w:rPr>
        <w:t>NON-SEGREGATED FACILITIES</w:t>
      </w:r>
    </w:p>
    <w:p w14:paraId="46184A74" w14:textId="77777777" w:rsidR="00DD6D54" w:rsidRPr="00CA1535" w:rsidRDefault="00DD6D54" w:rsidP="00DD6D54">
      <w:pPr>
        <w:tabs>
          <w:tab w:val="left" w:pos="820"/>
        </w:tabs>
        <w:spacing w:before="200" w:line="276" w:lineRule="auto"/>
        <w:ind w:left="360"/>
        <w:jc w:val="both"/>
        <w:rPr>
          <w:rFonts w:ascii="Times New Roman" w:eastAsia="Arial" w:hAnsi="Times New Roman"/>
          <w:b/>
          <w:bCs/>
          <w:sz w:val="22"/>
          <w:szCs w:val="22"/>
        </w:rPr>
      </w:pPr>
      <w:r w:rsidRPr="00CA1535">
        <w:rPr>
          <w:rFonts w:ascii="Times New Roman" w:eastAsia="Arial" w:hAnsi="Times New Roman"/>
          <w:bCs/>
          <w:sz w:val="22"/>
          <w:szCs w:val="22"/>
        </w:rPr>
        <w:t>“Prohibition of Segregated Facilities”</w:t>
      </w:r>
    </w:p>
    <w:p w14:paraId="2CED1750" w14:textId="77777777" w:rsidR="00DD6D54" w:rsidRPr="00CA1535" w:rsidRDefault="00DD6D54" w:rsidP="00BC1B3F">
      <w:pPr>
        <w:pStyle w:val="ListParagraph"/>
        <w:numPr>
          <w:ilvl w:val="3"/>
          <w:numId w:val="51"/>
        </w:numPr>
        <w:tabs>
          <w:tab w:val="left" w:pos="820"/>
        </w:tabs>
        <w:spacing w:before="200" w:line="276" w:lineRule="auto"/>
        <w:ind w:left="1080"/>
        <w:contextualSpacing w:val="0"/>
        <w:jc w:val="both"/>
        <w:rPr>
          <w:rFonts w:ascii="Times New Roman" w:eastAsia="Arial" w:hAnsi="Times New Roman"/>
          <w:bCs/>
          <w:sz w:val="22"/>
          <w:szCs w:val="22"/>
        </w:rPr>
      </w:pPr>
      <w:r w:rsidRPr="00CA1535">
        <w:rPr>
          <w:rFonts w:ascii="Times New Roman" w:eastAsia="Arial" w:hAnsi="Times New Roman"/>
          <w:bCs/>
          <w:sz w:val="22"/>
          <w:szCs w:val="22"/>
        </w:rPr>
        <w:t>Segregated facilities means any waiting rooms, work areas, rest rooms and wash rooms, restaurants and other eating areas, time clocks, locker rooms and other storage or dressing areas, parking lots, drinking fountains, recreation or entertainment areas, transportation, and housing facilities provided for employees, that are segregated by explicit directive or are in fact segregated on the basis of race, color, religion, sex, sexual orientation, gender identity, or national origin because of written or oral policies or employee custom. The term does not include separate or single-user rest rooms or necessary dressing or sleeping areas provided to assure privacy between the sexes.</w:t>
      </w:r>
    </w:p>
    <w:p w14:paraId="1EA4235E" w14:textId="77777777" w:rsidR="00DD6D54" w:rsidRPr="00CA1535" w:rsidRDefault="00DD6D54" w:rsidP="00DD6D54">
      <w:pPr>
        <w:pStyle w:val="ListParagraph"/>
        <w:tabs>
          <w:tab w:val="left" w:pos="820"/>
        </w:tabs>
        <w:spacing w:before="200" w:line="276" w:lineRule="auto"/>
        <w:ind w:left="1080"/>
        <w:contextualSpacing w:val="0"/>
        <w:jc w:val="both"/>
        <w:rPr>
          <w:rFonts w:ascii="Times New Roman" w:eastAsia="Arial" w:hAnsi="Times New Roman"/>
          <w:bCs/>
          <w:sz w:val="22"/>
          <w:szCs w:val="22"/>
        </w:rPr>
      </w:pPr>
      <w:r w:rsidRPr="00CA1535">
        <w:rPr>
          <w:rFonts w:ascii="Times New Roman" w:eastAsia="Arial" w:hAnsi="Times New Roman"/>
          <w:bCs/>
          <w:sz w:val="22"/>
          <w:szCs w:val="22"/>
        </w:rPr>
        <w:t xml:space="preserve">Sexual orientation has the meaning given by the Department of Labor's Office of Federal Contract Compliance Programs, and is found at </w:t>
      </w:r>
      <w:hyperlink r:id="rId11" w:history="1">
        <w:r w:rsidRPr="00CA1535">
          <w:rPr>
            <w:rStyle w:val="Hyperlink"/>
            <w:rFonts w:ascii="Times New Roman" w:eastAsia="Arial" w:hAnsi="Times New Roman"/>
            <w:bCs/>
            <w:sz w:val="22"/>
            <w:szCs w:val="22"/>
          </w:rPr>
          <w:t>www.dol.gov/ofccp/LGBT/LGBT_FAQs.html</w:t>
        </w:r>
      </w:hyperlink>
      <w:r w:rsidRPr="00CA1535">
        <w:rPr>
          <w:rFonts w:ascii="Times New Roman" w:eastAsia="Arial" w:hAnsi="Times New Roman"/>
          <w:bCs/>
          <w:sz w:val="22"/>
          <w:szCs w:val="22"/>
        </w:rPr>
        <w:t>.</w:t>
      </w:r>
    </w:p>
    <w:p w14:paraId="19ED95AF" w14:textId="77777777" w:rsidR="00DD6D54" w:rsidRPr="00CA1535" w:rsidRDefault="00DD6D54" w:rsidP="00BC1B3F">
      <w:pPr>
        <w:pStyle w:val="ListParagraph"/>
        <w:numPr>
          <w:ilvl w:val="3"/>
          <w:numId w:val="51"/>
        </w:numPr>
        <w:tabs>
          <w:tab w:val="left" w:pos="820"/>
        </w:tabs>
        <w:spacing w:before="200" w:line="276" w:lineRule="auto"/>
        <w:ind w:left="1080"/>
        <w:contextualSpacing w:val="0"/>
        <w:jc w:val="both"/>
        <w:rPr>
          <w:rFonts w:ascii="Times New Roman" w:eastAsia="Arial" w:hAnsi="Times New Roman"/>
          <w:bCs/>
          <w:sz w:val="22"/>
          <w:szCs w:val="22"/>
        </w:rPr>
      </w:pPr>
      <w:r w:rsidRPr="00CA1535">
        <w:rPr>
          <w:rFonts w:ascii="Times New Roman" w:eastAsia="Arial" w:hAnsi="Times New Roman"/>
          <w:bCs/>
          <w:sz w:val="22"/>
          <w:szCs w:val="22"/>
        </w:rPr>
        <w:t>The Contractor agrees that it does not and will not maintain or provide for its employees any segregated facilities at any of its establishments, and that it does not and will not permit its employees to perform their services at any location under its control where segregated facilities are maintained. The Contractor agrees that a breach of this clause is a violation of the Equal Opportunity clause in this contract.</w:t>
      </w:r>
    </w:p>
    <w:p w14:paraId="4A940775" w14:textId="77777777" w:rsidR="00DD6D54" w:rsidRPr="00CA1535" w:rsidRDefault="00DD6D54" w:rsidP="00BC1B3F">
      <w:pPr>
        <w:pStyle w:val="ListParagraph"/>
        <w:numPr>
          <w:ilvl w:val="3"/>
          <w:numId w:val="51"/>
        </w:numPr>
        <w:tabs>
          <w:tab w:val="left" w:pos="820"/>
        </w:tabs>
        <w:spacing w:before="200" w:line="276" w:lineRule="auto"/>
        <w:ind w:left="1080"/>
        <w:contextualSpacing w:val="0"/>
        <w:jc w:val="both"/>
        <w:rPr>
          <w:rFonts w:ascii="Times New Roman" w:eastAsia="Arial" w:hAnsi="Times New Roman"/>
          <w:bCs/>
          <w:sz w:val="22"/>
          <w:szCs w:val="22"/>
        </w:rPr>
      </w:pPr>
      <w:r w:rsidRPr="00CA1535">
        <w:rPr>
          <w:rFonts w:ascii="Times New Roman" w:eastAsia="Arial" w:hAnsi="Times New Roman"/>
          <w:bCs/>
          <w:sz w:val="22"/>
          <w:szCs w:val="22"/>
        </w:rPr>
        <w:t xml:space="preserve">The Contractor shall include this clause in every subcontract and purchase order that is subject to the Equal Opportunity clause of this contract. </w:t>
      </w:r>
    </w:p>
    <w:p w14:paraId="2BEEE5C7" w14:textId="77777777" w:rsidR="00DD6D54" w:rsidRPr="00CA1535" w:rsidRDefault="00DD6D54" w:rsidP="00DD6D54">
      <w:pPr>
        <w:tabs>
          <w:tab w:val="left" w:pos="820"/>
        </w:tabs>
        <w:spacing w:before="200" w:after="200" w:line="276" w:lineRule="auto"/>
        <w:ind w:left="360"/>
        <w:jc w:val="both"/>
        <w:rPr>
          <w:rFonts w:ascii="Times New Roman" w:eastAsia="Arial" w:hAnsi="Times New Roman"/>
          <w:b/>
          <w:bCs/>
          <w:sz w:val="22"/>
          <w:szCs w:val="22"/>
        </w:rPr>
      </w:pPr>
      <w:r w:rsidRPr="00CA1535">
        <w:rPr>
          <w:rFonts w:ascii="Times New Roman" w:eastAsia="Arial" w:hAnsi="Times New Roman"/>
          <w:b/>
          <w:bCs/>
          <w:sz w:val="22"/>
          <w:szCs w:val="22"/>
        </w:rPr>
        <w:lastRenderedPageBreak/>
        <w:t>PARTICIPATION BY MINORITY &amp; WOMEN-OWNED BUSINESS ENTERPRISES (2 CFR 200.321)</w:t>
      </w:r>
    </w:p>
    <w:p w14:paraId="0CDD539E" w14:textId="77777777" w:rsidR="004D220C" w:rsidRPr="00CA1535" w:rsidRDefault="004D220C" w:rsidP="004D220C">
      <w:pPr>
        <w:spacing w:before="200" w:after="200" w:line="276" w:lineRule="auto"/>
        <w:ind w:left="360"/>
        <w:jc w:val="both"/>
        <w:rPr>
          <w:rFonts w:ascii="Times New Roman" w:eastAsia="Arial" w:hAnsi="Times New Roman"/>
          <w:sz w:val="22"/>
          <w:szCs w:val="22"/>
        </w:rPr>
      </w:pPr>
      <w:r w:rsidRPr="00CA1535">
        <w:rPr>
          <w:rFonts w:ascii="Times New Roman" w:eastAsia="Arial" w:hAnsi="Times New Roman"/>
          <w:sz w:val="22"/>
          <w:szCs w:val="22"/>
        </w:rPr>
        <w:t xml:space="preserve">Contractor must comply with the Minority and Women-owned Business Enterprise participation requirements under 2 CFR 200.321. Contractors must take all affirmative steps necessary to subcontract with Minority and Women-owned Business Enterprises (MWBEs) </w:t>
      </w:r>
      <w:r w:rsidRPr="00CA1535">
        <w:rPr>
          <w:rFonts w:ascii="Times New Roman" w:hAnsi="Times New Roman"/>
          <w:sz w:val="22"/>
          <w:szCs w:val="22"/>
        </w:rPr>
        <w:t>to assure that MWBEs are used when possible. These affirmative steps shall include:</w:t>
      </w:r>
    </w:p>
    <w:p w14:paraId="21DD92F7" w14:textId="77777777" w:rsidR="004D220C" w:rsidRPr="00CA1535" w:rsidRDefault="004D220C" w:rsidP="004D220C">
      <w:pPr>
        <w:pStyle w:val="ListParagraph"/>
        <w:numPr>
          <w:ilvl w:val="0"/>
          <w:numId w:val="7"/>
        </w:numPr>
        <w:spacing w:before="200" w:after="200" w:line="276" w:lineRule="auto"/>
        <w:contextualSpacing w:val="0"/>
        <w:jc w:val="both"/>
        <w:rPr>
          <w:rFonts w:ascii="Times New Roman" w:eastAsia="Arial" w:hAnsi="Times New Roman"/>
          <w:sz w:val="22"/>
          <w:szCs w:val="22"/>
        </w:rPr>
      </w:pPr>
      <w:r w:rsidRPr="00CA1535">
        <w:rPr>
          <w:rFonts w:ascii="Times New Roman" w:hAnsi="Times New Roman"/>
          <w:sz w:val="22"/>
          <w:szCs w:val="22"/>
        </w:rPr>
        <w:t xml:space="preserve">Placing qualified small and minority businesses and women’s business enterprises on solicitation lists; </w:t>
      </w:r>
    </w:p>
    <w:p w14:paraId="4C5BDAE8" w14:textId="77777777" w:rsidR="004D220C" w:rsidRPr="00CA1535" w:rsidRDefault="004D220C" w:rsidP="004D220C">
      <w:pPr>
        <w:pStyle w:val="ListParagraph"/>
        <w:numPr>
          <w:ilvl w:val="0"/>
          <w:numId w:val="7"/>
        </w:numPr>
        <w:spacing w:before="200" w:after="200" w:line="276" w:lineRule="auto"/>
        <w:contextualSpacing w:val="0"/>
        <w:jc w:val="both"/>
        <w:rPr>
          <w:rFonts w:eastAsia="Arial"/>
          <w:sz w:val="22"/>
          <w:szCs w:val="22"/>
        </w:rPr>
      </w:pPr>
      <w:r w:rsidRPr="00CA1535">
        <w:rPr>
          <w:rFonts w:ascii="Times New Roman" w:hAnsi="Times New Roman"/>
          <w:sz w:val="22"/>
          <w:szCs w:val="22"/>
        </w:rPr>
        <w:t xml:space="preserve">Assuring that small and minority businesses, and women’s business enterprises are solicited whenever they are potential sources; </w:t>
      </w:r>
    </w:p>
    <w:p w14:paraId="7AE9D390" w14:textId="77777777" w:rsidR="004D220C" w:rsidRPr="00CA1535" w:rsidRDefault="004D220C" w:rsidP="004D220C">
      <w:pPr>
        <w:pStyle w:val="ListParagraph"/>
        <w:numPr>
          <w:ilvl w:val="0"/>
          <w:numId w:val="7"/>
        </w:numPr>
        <w:spacing w:before="200" w:after="200" w:line="276" w:lineRule="auto"/>
        <w:contextualSpacing w:val="0"/>
        <w:jc w:val="both"/>
        <w:rPr>
          <w:rFonts w:ascii="Times New Roman" w:eastAsia="Arial" w:hAnsi="Times New Roman"/>
          <w:sz w:val="22"/>
          <w:szCs w:val="22"/>
        </w:rPr>
      </w:pPr>
      <w:r w:rsidRPr="00CA1535">
        <w:rPr>
          <w:rFonts w:ascii="Times New Roman" w:hAnsi="Times New Roman"/>
          <w:sz w:val="22"/>
          <w:szCs w:val="22"/>
        </w:rPr>
        <w:t xml:space="preserve">Dividing total requirements, when economically feasible, into smaller tasks or quantities to permit maximum participation by small and minority businesses, and women’s business enterprises; </w:t>
      </w:r>
    </w:p>
    <w:p w14:paraId="776640FB" w14:textId="77777777" w:rsidR="004D220C" w:rsidRPr="00CA1535" w:rsidRDefault="004D220C" w:rsidP="004D220C">
      <w:pPr>
        <w:pStyle w:val="ListParagraph"/>
        <w:numPr>
          <w:ilvl w:val="0"/>
          <w:numId w:val="7"/>
        </w:numPr>
        <w:spacing w:before="200" w:after="200" w:line="276" w:lineRule="auto"/>
        <w:contextualSpacing w:val="0"/>
        <w:jc w:val="both"/>
        <w:rPr>
          <w:rFonts w:ascii="Times New Roman" w:eastAsia="Arial" w:hAnsi="Times New Roman"/>
          <w:sz w:val="22"/>
          <w:szCs w:val="22"/>
        </w:rPr>
      </w:pPr>
      <w:r w:rsidRPr="00CA1535">
        <w:rPr>
          <w:rFonts w:ascii="Times New Roman" w:hAnsi="Times New Roman"/>
          <w:sz w:val="22"/>
          <w:szCs w:val="22"/>
        </w:rPr>
        <w:t>Establishing delivery schedules, where the requirement permits, which encourage participation by small and minority businesses, and women’s business enterprises; and</w:t>
      </w:r>
    </w:p>
    <w:p w14:paraId="28D7DF30" w14:textId="77777777" w:rsidR="004D220C" w:rsidRPr="00CA1535" w:rsidRDefault="004D220C" w:rsidP="004D220C">
      <w:pPr>
        <w:pStyle w:val="ListParagraph"/>
        <w:numPr>
          <w:ilvl w:val="0"/>
          <w:numId w:val="7"/>
        </w:numPr>
        <w:spacing w:before="200" w:after="200" w:line="276" w:lineRule="auto"/>
        <w:contextualSpacing w:val="0"/>
        <w:jc w:val="both"/>
        <w:rPr>
          <w:rFonts w:ascii="Times New Roman" w:eastAsia="Arial" w:hAnsi="Times New Roman"/>
          <w:sz w:val="22"/>
          <w:szCs w:val="22"/>
        </w:rPr>
      </w:pPr>
      <w:r w:rsidRPr="00CA1535">
        <w:rPr>
          <w:rFonts w:ascii="Times New Roman" w:hAnsi="Times New Roman"/>
          <w:sz w:val="22"/>
          <w:szCs w:val="22"/>
        </w:rPr>
        <w:t>Using the services and assistance, as appropriate, of such organizations as the Small Business Administration and the Minority Business Development Agency of the Department of Commerce.</w:t>
      </w:r>
    </w:p>
    <w:p w14:paraId="7C99ED9B" w14:textId="216A4E08" w:rsidR="004D220C" w:rsidRPr="00CA1535" w:rsidRDefault="004D220C" w:rsidP="004D220C">
      <w:pPr>
        <w:spacing w:before="200" w:after="200" w:line="276" w:lineRule="auto"/>
        <w:ind w:left="360"/>
        <w:jc w:val="both"/>
        <w:rPr>
          <w:rFonts w:ascii="Times New Roman" w:eastAsia="Arial" w:hAnsi="Times New Roman"/>
          <w:sz w:val="22"/>
          <w:szCs w:val="22"/>
        </w:rPr>
      </w:pPr>
      <w:r w:rsidRPr="00CA1535">
        <w:rPr>
          <w:rFonts w:ascii="Times New Roman" w:eastAsia="Arial" w:hAnsi="Times New Roman"/>
          <w:sz w:val="22"/>
          <w:szCs w:val="22"/>
        </w:rPr>
        <w:t>The State of Texas maintains a Historically Underutilized Business Program, which identifies any business at least 51 percent owned by an Asian Pacific American, Black American, Hispanic American, Native American, American woman and/or Service Disabled Veteran, who reside in Texas and actively participate in the control, operations and management of the entity's affairs as a Historically Underutilized Business (also considered MWBE).</w:t>
      </w:r>
      <w:r w:rsidR="00F52C06" w:rsidRPr="00CA1535">
        <w:rPr>
          <w:rFonts w:ascii="Times New Roman" w:eastAsia="Arial" w:hAnsi="Times New Roman"/>
          <w:sz w:val="22"/>
          <w:szCs w:val="22"/>
        </w:rPr>
        <w:t xml:space="preserve"> </w:t>
      </w:r>
      <w:r w:rsidRPr="00CA1535">
        <w:rPr>
          <w:rFonts w:ascii="Times New Roman" w:eastAsia="Arial" w:hAnsi="Times New Roman"/>
          <w:sz w:val="22"/>
          <w:szCs w:val="22"/>
        </w:rPr>
        <w:t xml:space="preserve">Contractors who wish to check the status of a firm may visit https://comptroller.texas.gov/purchasing/vendor/hub/. </w:t>
      </w:r>
    </w:p>
    <w:p w14:paraId="383D43DA" w14:textId="316EA16B" w:rsidR="004D220C" w:rsidRPr="00CA1535" w:rsidRDefault="0016738C" w:rsidP="004D220C">
      <w:pPr>
        <w:spacing w:before="200" w:after="200" w:line="276" w:lineRule="auto"/>
        <w:ind w:left="360"/>
        <w:jc w:val="both"/>
        <w:rPr>
          <w:rFonts w:ascii="Times New Roman" w:eastAsia="Arial" w:hAnsi="Times New Roman"/>
          <w:sz w:val="22"/>
          <w:szCs w:val="22"/>
        </w:rPr>
      </w:pPr>
      <w:r w:rsidRPr="00CA1535">
        <w:rPr>
          <w:rFonts w:ascii="Times New Roman" w:eastAsia="Arial" w:hAnsi="Times New Roman"/>
          <w:sz w:val="22"/>
          <w:szCs w:val="22"/>
        </w:rPr>
        <w:t>Contractors</w:t>
      </w:r>
      <w:r w:rsidR="00F52C06" w:rsidRPr="00CA1535">
        <w:rPr>
          <w:rFonts w:ascii="Times New Roman" w:eastAsia="Arial" w:hAnsi="Times New Roman"/>
          <w:sz w:val="22"/>
          <w:szCs w:val="22"/>
        </w:rPr>
        <w:t xml:space="preserve"> and subcontractors</w:t>
      </w:r>
      <w:r w:rsidRPr="00CA1535">
        <w:rPr>
          <w:rFonts w:ascii="Times New Roman" w:eastAsia="Arial" w:hAnsi="Times New Roman"/>
          <w:sz w:val="22"/>
          <w:szCs w:val="22"/>
        </w:rPr>
        <w:t xml:space="preserve"> </w:t>
      </w:r>
      <w:r w:rsidR="004D220C" w:rsidRPr="00CA1535">
        <w:rPr>
          <w:rFonts w:ascii="Times New Roman" w:eastAsia="Arial" w:hAnsi="Times New Roman"/>
          <w:sz w:val="22"/>
          <w:szCs w:val="22"/>
        </w:rPr>
        <w:t>are required to facilitate Minority &amp; Women-Owned Business Enterprise participation</w:t>
      </w:r>
      <w:r w:rsidR="00536556" w:rsidRPr="00CA1535">
        <w:rPr>
          <w:rFonts w:ascii="Times New Roman" w:eastAsia="Arial" w:hAnsi="Times New Roman"/>
          <w:sz w:val="22"/>
          <w:szCs w:val="22"/>
        </w:rPr>
        <w:t xml:space="preserve">. </w:t>
      </w:r>
      <w:r w:rsidRPr="00CA1535">
        <w:rPr>
          <w:rFonts w:ascii="Times New Roman" w:eastAsia="Arial" w:hAnsi="Times New Roman"/>
          <w:sz w:val="22"/>
          <w:szCs w:val="22"/>
        </w:rPr>
        <w:t xml:space="preserve">Contractors </w:t>
      </w:r>
      <w:r w:rsidR="004D220C" w:rsidRPr="00CA1535">
        <w:rPr>
          <w:rFonts w:ascii="Times New Roman" w:eastAsia="Arial" w:hAnsi="Times New Roman"/>
          <w:sz w:val="22"/>
          <w:szCs w:val="22"/>
        </w:rPr>
        <w:t>are encouraged to utilize MWBEs / HUB firms as subcontractors, subconsultants, or suppliers in order to comply with the requirements and may check for firms who perform relevant work by searching https://comptroller.texas.gov/purchasing/vendor/hub/.</w:t>
      </w:r>
    </w:p>
    <w:p w14:paraId="2160D571" w14:textId="0AA68F4F" w:rsidR="004D220C" w:rsidRPr="00CA1535" w:rsidRDefault="004D220C" w:rsidP="004D220C">
      <w:pPr>
        <w:spacing w:before="200" w:after="200" w:line="276" w:lineRule="auto"/>
        <w:ind w:left="360"/>
        <w:jc w:val="both"/>
        <w:rPr>
          <w:rFonts w:ascii="Times New Roman" w:eastAsia="Arial" w:hAnsi="Times New Roman"/>
          <w:sz w:val="22"/>
          <w:szCs w:val="22"/>
        </w:rPr>
      </w:pPr>
      <w:r w:rsidRPr="00CA1535">
        <w:rPr>
          <w:rFonts w:ascii="Times New Roman" w:eastAsia="Arial" w:hAnsi="Times New Roman"/>
          <w:sz w:val="22"/>
          <w:szCs w:val="22"/>
        </w:rPr>
        <w:t>Contractor</w:t>
      </w:r>
      <w:r w:rsidR="00536556" w:rsidRPr="00CA1535">
        <w:rPr>
          <w:rFonts w:ascii="Times New Roman" w:eastAsia="Arial" w:hAnsi="Times New Roman"/>
          <w:sz w:val="22"/>
          <w:szCs w:val="22"/>
        </w:rPr>
        <w:t xml:space="preserve"> and subcontractors</w:t>
      </w:r>
      <w:r w:rsidRPr="00CA1535">
        <w:rPr>
          <w:rFonts w:ascii="Times New Roman" w:eastAsia="Arial" w:hAnsi="Times New Roman"/>
          <w:sz w:val="22"/>
          <w:szCs w:val="22"/>
        </w:rPr>
        <w:t xml:space="preserve"> must facilitate Minority &amp; Women-Owned Business Enterprise participation and take all affirmative steps to utilize MWBEs / HUB firms as subcontractors, subconsultants, or suppliers throughout the life of the Contract. </w:t>
      </w:r>
    </w:p>
    <w:p w14:paraId="78317833" w14:textId="77777777" w:rsidR="00DD6D54" w:rsidRPr="00CA1535" w:rsidRDefault="00DD6D54" w:rsidP="00DD6D54">
      <w:pPr>
        <w:tabs>
          <w:tab w:val="left" w:pos="-720"/>
        </w:tabs>
        <w:suppressAutoHyphens/>
        <w:spacing w:before="200" w:after="200" w:line="276" w:lineRule="auto"/>
        <w:ind w:left="360"/>
        <w:jc w:val="both"/>
        <w:outlineLvl w:val="0"/>
        <w:rPr>
          <w:rFonts w:ascii="Times New Roman" w:hAnsi="Times New Roman"/>
          <w:b/>
          <w:bCs/>
          <w:caps/>
          <w:sz w:val="22"/>
          <w:szCs w:val="22"/>
        </w:rPr>
      </w:pPr>
      <w:r w:rsidRPr="00CA1535">
        <w:rPr>
          <w:rFonts w:ascii="Times New Roman" w:hAnsi="Times New Roman"/>
          <w:b/>
          <w:bCs/>
          <w:caps/>
          <w:sz w:val="22"/>
          <w:szCs w:val="22"/>
        </w:rPr>
        <w:t>Potential Conflicts of Interest</w:t>
      </w:r>
    </w:p>
    <w:p w14:paraId="1CDD243B" w14:textId="77777777"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 xml:space="preserve">Pursuant to 2 CFR 200.112, Contractor must comply with disclosure requirements in accordance with Texas Local Government Code, Chapter 176. Contractor shall not use funds to directly or indirectly pay any person for influencing or attempting to influence any public employee or official in connection with the awarding of any contract or the extension, continuation, renewal, amendment or modification of any contract. By law, the </w:t>
      </w:r>
      <w:r w:rsidRPr="00CA1535">
        <w:rPr>
          <w:rFonts w:ascii="Times New Roman" w:hAnsi="Times New Roman"/>
          <w:i/>
          <w:sz w:val="22"/>
          <w:szCs w:val="22"/>
        </w:rPr>
        <w:t>Conflict of Interest Questionnaire</w:t>
      </w:r>
      <w:r w:rsidRPr="00CA1535">
        <w:rPr>
          <w:rFonts w:ascii="Times New Roman" w:hAnsi="Times New Roman"/>
          <w:sz w:val="22"/>
          <w:szCs w:val="22"/>
        </w:rPr>
        <w:t xml:space="preserve"> (provided by the Texas Ethics Commission at www.ethics.state.tx.us) must be filed with the records administrator of the local governmental entity not later than the 7th business day after the date the Contractor becomes aware of facts that require the statement to be filed.</w:t>
      </w:r>
    </w:p>
    <w:p w14:paraId="6AC3ADE5" w14:textId="77777777"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lastRenderedPageBreak/>
        <w:t xml:space="preserve">This law requires persons desiring to do business with the County to disclose any gifts valued in excess of $250 given to any County Official or the County Official’s family member, or employment of any County Official or the County Official’s family member during the preceding twelve (12) month period. The disclosure questionnaire must be filed with the Harris County Clerk. Refer to Texas Local Government Code, Chapter 176 for the details of this law. </w:t>
      </w:r>
    </w:p>
    <w:p w14:paraId="6FF30873" w14:textId="1311B773"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 xml:space="preserve">An outside consultant or contractor is prohibited from submitting a bid for services on a Harris County project of which the consultant or contractor was a designer or other previous contributor, or was an affiliate, subsidiary, joint venture or was in any other manner associated by ownership to any party that was a designer or other previous contributor. If such a consultant or contractor submits a prohibited bid, that bid shall be disqualified on the basis of conflict of interest, no matter when the conflict is discovered by Harris County.  </w:t>
      </w:r>
    </w:p>
    <w:p w14:paraId="599810F2" w14:textId="77777777" w:rsidR="00DD6D54" w:rsidRPr="00CA1535" w:rsidRDefault="00DD6D54" w:rsidP="00DD6D54">
      <w:pPr>
        <w:pStyle w:val="Heading3"/>
        <w:spacing w:before="200" w:after="200" w:line="276" w:lineRule="auto"/>
        <w:ind w:firstLine="360"/>
        <w:rPr>
          <w:rFonts w:ascii="Times New Roman" w:hAnsi="Times New Roman"/>
          <w:sz w:val="22"/>
          <w:szCs w:val="22"/>
          <w:u w:val="none"/>
        </w:rPr>
      </w:pPr>
      <w:r w:rsidRPr="00CA1535">
        <w:rPr>
          <w:rFonts w:ascii="Times New Roman" w:hAnsi="Times New Roman"/>
          <w:sz w:val="22"/>
          <w:szCs w:val="22"/>
          <w:u w:val="none"/>
        </w:rPr>
        <w:t>PREVAILING WAGES (2 CFR 200 APPENDIX II (D) and TGC 2258)</w:t>
      </w:r>
    </w:p>
    <w:p w14:paraId="39CF06C8" w14:textId="77777777" w:rsidR="00DD6D54" w:rsidRPr="00CA1535" w:rsidRDefault="00DD6D54" w:rsidP="00DD6D54">
      <w:pPr>
        <w:pStyle w:val="Heading3"/>
        <w:spacing w:before="200" w:after="200" w:line="276" w:lineRule="auto"/>
        <w:ind w:left="360"/>
        <w:rPr>
          <w:rFonts w:ascii="Times New Roman" w:hAnsi="Times New Roman"/>
          <w:b w:val="0"/>
          <w:sz w:val="22"/>
          <w:szCs w:val="22"/>
          <w:u w:val="none"/>
        </w:rPr>
      </w:pPr>
      <w:r w:rsidRPr="00CA1535">
        <w:rPr>
          <w:rFonts w:ascii="Times New Roman" w:hAnsi="Times New Roman"/>
          <w:b w:val="0"/>
          <w:sz w:val="22"/>
          <w:szCs w:val="22"/>
          <w:u w:val="none"/>
        </w:rPr>
        <w:t xml:space="preserve">Pursuant to 2 CFR 200 Appendix II (D), Contractor must comply with Texas Government Code (TGC) 2258, Prevailing Wage Rates. Accordingly, Contractor must submit a certified payroll records as required, and compensate any worker employed on a public works project not less than as applicable. As noted under “Davis Bacon and Related Acts”, when required by Federal program legislation, construction contracts in excess of $2,000 awarded by Harris County shall require compliance with the Davis-Bacon Act (40 U.S.C. 3141-3144, and 3146-3148) as supplemented by Department of Labor regulations (29 CFR Part 5, “Labor Standards Provisions Applicable to Contracts Covering Federally Financed and Assisted Construction”). In accordance with the statute, Contractor must pay wages to laborers and mechanics at a rate not less than the local prevailing wages, or Davis Bacon wages, as applicable. If both Texas prevailing wages and Davis Bacon provide rates for a particular class, Contractors must pay the greater wage rate.  In addition, Contractor must pay wages not less than once a week. </w:t>
      </w:r>
    </w:p>
    <w:p w14:paraId="5643EB97" w14:textId="77777777"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 xml:space="preserve">In compliance with Section 2258 of the Texas Government Code, Contractor and any subcontractor hired by Contractor for the construction of any project, shall pay not less than the rates set forth in the Schedule of Prevailing Wages attached and incorporated by reference. In submitting a Bid, Contractor warrants that it and its subcontractors shall comply with all requirements and worker ratios per the applicable Schedule of Prevailing Wages and Texas state law. </w:t>
      </w:r>
    </w:p>
    <w:p w14:paraId="06B1DDE5" w14:textId="77777777"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 xml:space="preserve">Contractor must submit certified payroll of contractor and all subcontractors on a weekly basis. At County’s request, Contractor must make available and shall require its subcontractors to make available, copies of cancelled checks and check stubs for comparisons by the County or its agents. Regardless of whether Davis Bacon or Texas Prevailing Wages apply, the County reserves the right for its agents to visit the project site and to interview contractor, its subcontractors and employees of each on any date or time, as often as desired during the construction period, without prior notification. </w:t>
      </w:r>
    </w:p>
    <w:p w14:paraId="709A4C17" w14:textId="77777777"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 xml:space="preserve">Harris County will ascertain if proper wage rates are being paid to the employees as required. In the event of a discrepancy between the work performed and the wages paid, the County shall document same and notify Contractor. If, for any length of time and as determined by Harris County, discrepancies appear between the certified payrolls and the actual wage paid, the County shall require check stubs to be attached to each weekly certified payroll. </w:t>
      </w:r>
    </w:p>
    <w:p w14:paraId="6A660D82" w14:textId="77777777"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lastRenderedPageBreak/>
        <w:t>Pursuant to Texas Government Code Section 2258.051, the County reserves the right to withhold any monies due Contractor until such discrepancy is resolved and the necessary adjustment made. The Contractor shall forfeit as a penalty, in accordance with Texas Government Code Section 2258.023(b), to the County or entity who administers the subject Project receiving Federal assistance, Sixty Dollars ($60.00) for each worker, employed for each calendar day, or a portion thereof, such worker is paid less than the said stipulated rates for any work done under this Project, by him/her or by any contractor/subcontractor under him/her.</w:t>
      </w:r>
    </w:p>
    <w:p w14:paraId="68211781" w14:textId="77777777"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All contractor/subcontractor shall keep, or cause to be kept, an accurate record showing the names of all workers, also the actual per diem wages paid to each of such workers. Contractor shall impose these same obligations upon its Subcontractors. Contractor understands that with weekly or monthly certified payrolls, contractor is responsible for any and all penalties that shall accrue during the month, regardless of the fact that any error could not be discovered by the Contract Compliance Officer until the following certified payroll.</w:t>
      </w:r>
    </w:p>
    <w:p w14:paraId="588FA38D" w14:textId="77777777" w:rsidR="00DD6D54" w:rsidRPr="00CA1535" w:rsidRDefault="00DD6D54" w:rsidP="00DD6D54">
      <w:pPr>
        <w:tabs>
          <w:tab w:val="left" w:pos="-720"/>
        </w:tabs>
        <w:suppressAutoHyphens/>
        <w:spacing w:before="200" w:after="200" w:line="276" w:lineRule="auto"/>
        <w:ind w:left="360"/>
        <w:jc w:val="both"/>
        <w:outlineLvl w:val="0"/>
        <w:rPr>
          <w:rFonts w:ascii="Times New Roman" w:hAnsi="Times New Roman"/>
          <w:b/>
          <w:bCs/>
          <w:sz w:val="22"/>
          <w:szCs w:val="22"/>
        </w:rPr>
      </w:pPr>
      <w:r w:rsidRPr="00CA1535">
        <w:rPr>
          <w:rFonts w:ascii="Times New Roman" w:hAnsi="Times New Roman"/>
          <w:b/>
          <w:bCs/>
          <w:sz w:val="22"/>
          <w:szCs w:val="22"/>
        </w:rPr>
        <w:t>PROCUREMENT OF RECOVERED MATERIALS (2 CFR 200.322)</w:t>
      </w:r>
    </w:p>
    <w:p w14:paraId="19824373" w14:textId="43D7BD9B" w:rsidR="00DD6D54" w:rsidRPr="00CA1535" w:rsidRDefault="00DD6D54" w:rsidP="00DD6D54">
      <w:pPr>
        <w:spacing w:before="200" w:after="200" w:line="276" w:lineRule="auto"/>
        <w:ind w:left="360"/>
        <w:jc w:val="both"/>
        <w:rPr>
          <w:rFonts w:ascii="Times New Roman" w:hAnsi="Times New Roman"/>
          <w:sz w:val="28"/>
          <w:szCs w:val="28"/>
        </w:rPr>
      </w:pPr>
      <w:r w:rsidRPr="00CA1535">
        <w:rPr>
          <w:rFonts w:ascii="Times New Roman" w:hAnsi="Times New Roman"/>
          <w:sz w:val="22"/>
          <w:szCs w:val="22"/>
        </w:rPr>
        <w:t>Pursuant to 2 CFR 200.322, Contractor must comply with Section 6002 of the Solid Waste Disposal Act, Pub. L. No. 89-272 (1965) (codified as amended by the Resource Conservation and Recovery Act at 42 U.S.C. § 6962). As such, any contractors awarded under this contract opportunity is subject to the requirements of Section 6002, which include procuring only items designated in guidelines of the EPA at 40 C.F.R. Part 247 that contain the highest percentage of recovered materials practicable, consistent with maintaining a satisfactory level of competition, where the purchase price of the item exceeds $10,000 or the value of the quantity acquired by the preceding fiscal year exceeded $10,000; procuring solid waste management services in a manner that maximizes energy and resource recovery; and establishing an affirmative procurement program for procurement of recovered materials identified in the EPA guidelines.</w:t>
      </w:r>
      <w:r w:rsidRPr="00CA1535">
        <w:rPr>
          <w:rFonts w:ascii="Times New Roman" w:hAnsi="Times New Roman"/>
          <w:sz w:val="28"/>
          <w:szCs w:val="28"/>
        </w:rPr>
        <w:t xml:space="preserve"> </w:t>
      </w:r>
    </w:p>
    <w:p w14:paraId="317A2DDA" w14:textId="77777777" w:rsidR="009B2229" w:rsidRPr="00CA1535" w:rsidRDefault="009B2229" w:rsidP="009B2229">
      <w:pPr>
        <w:tabs>
          <w:tab w:val="left" w:pos="-720"/>
        </w:tabs>
        <w:suppressAutoHyphens/>
        <w:spacing w:before="200" w:after="200" w:line="276" w:lineRule="auto"/>
        <w:ind w:left="360"/>
        <w:jc w:val="both"/>
        <w:outlineLvl w:val="0"/>
        <w:rPr>
          <w:rFonts w:ascii="Times New Roman" w:hAnsi="Times New Roman"/>
          <w:b/>
          <w:bCs/>
          <w:sz w:val="22"/>
          <w:szCs w:val="22"/>
        </w:rPr>
      </w:pPr>
      <w:r w:rsidRPr="00CA1535">
        <w:rPr>
          <w:rFonts w:ascii="Times New Roman" w:hAnsi="Times New Roman"/>
          <w:b/>
          <w:bCs/>
          <w:sz w:val="22"/>
          <w:szCs w:val="22"/>
        </w:rPr>
        <w:t>PROGRAM FRAUD AND FALSE OR FRAUDULENT STATEMENTS OR RELATED ACTS</w:t>
      </w:r>
    </w:p>
    <w:p w14:paraId="373DCF59" w14:textId="77777777" w:rsidR="009B2229" w:rsidRPr="00CA1535" w:rsidRDefault="009B2229" w:rsidP="009B2229">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 xml:space="preserve">Contractor must comply with 31 U.S.C. Chapter 38, </w:t>
      </w:r>
      <w:r w:rsidRPr="00CA1535">
        <w:rPr>
          <w:rFonts w:ascii="Times New Roman" w:hAnsi="Times New Roman"/>
          <w:i/>
          <w:iCs/>
          <w:sz w:val="22"/>
          <w:szCs w:val="22"/>
        </w:rPr>
        <w:t>Administrative Remedies for False Claims and Statements</w:t>
      </w:r>
      <w:r w:rsidRPr="00CA1535">
        <w:rPr>
          <w:rFonts w:ascii="Times New Roman" w:hAnsi="Times New Roman"/>
          <w:sz w:val="22"/>
          <w:szCs w:val="22"/>
        </w:rPr>
        <w:t>, which shall apply to the activities and actions of the Contractor and its subcontractors pertaining to any matter resulting from the contract.</w:t>
      </w:r>
    </w:p>
    <w:p w14:paraId="547C99CB" w14:textId="77777777" w:rsidR="00D328EC" w:rsidRPr="00CA1535" w:rsidRDefault="00D328EC" w:rsidP="00D328EC">
      <w:pPr>
        <w:spacing w:before="200" w:after="200" w:line="276" w:lineRule="auto"/>
        <w:ind w:left="360"/>
        <w:jc w:val="both"/>
        <w:rPr>
          <w:rFonts w:ascii="Times New Roman" w:hAnsi="Times New Roman"/>
          <w:b/>
          <w:bCs/>
          <w:sz w:val="22"/>
          <w:szCs w:val="22"/>
        </w:rPr>
      </w:pPr>
      <w:r w:rsidRPr="00CA1535">
        <w:rPr>
          <w:rFonts w:ascii="Times New Roman" w:hAnsi="Times New Roman"/>
          <w:b/>
          <w:bCs/>
          <w:sz w:val="22"/>
          <w:szCs w:val="22"/>
        </w:rPr>
        <w:t>PROHIBITION ON CERTAIN TELECOMMUNICATIONS AND VIDEO SURVEILLANCE SERVICES OR EQUIPMENT (2 CFR 200.216)</w:t>
      </w:r>
    </w:p>
    <w:p w14:paraId="110F93F7" w14:textId="77777777" w:rsidR="00D328EC" w:rsidRPr="00CA1535" w:rsidRDefault="00D328EC" w:rsidP="00D328EC">
      <w:pPr>
        <w:pStyle w:val="BodyText"/>
        <w:spacing w:line="276" w:lineRule="auto"/>
        <w:ind w:left="360" w:right="118"/>
        <w:jc w:val="both"/>
      </w:pPr>
      <w:r w:rsidRPr="00CA1535">
        <w:rPr>
          <w:rFonts w:ascii="Times New Roman" w:hAnsi="Times New Roman"/>
          <w:sz w:val="22"/>
          <w:szCs w:val="22"/>
        </w:rPr>
        <w:t xml:space="preserve">Harris County is prohibited from obligating or expending loan or grant funds to procure or obtain, extend, or renew a contract to procure or obtain, or enter into a contract (or extend or renew a contract) to procure or obtain equipment, services, or systems that uses covered telecommunications equipment or services as a substantial or </w:t>
      </w:r>
      <w:r w:rsidRPr="00CA1535">
        <w:t>essential</w:t>
      </w:r>
      <w:r w:rsidRPr="00CA1535">
        <w:rPr>
          <w:spacing w:val="-4"/>
        </w:rPr>
        <w:t xml:space="preserve"> </w:t>
      </w:r>
      <w:r w:rsidRPr="00CA1535">
        <w:t>component</w:t>
      </w:r>
      <w:r w:rsidRPr="00CA1535">
        <w:rPr>
          <w:spacing w:val="-4"/>
        </w:rPr>
        <w:t xml:space="preserve"> </w:t>
      </w:r>
      <w:r w:rsidRPr="00CA1535">
        <w:t>of</w:t>
      </w:r>
      <w:r w:rsidRPr="00CA1535">
        <w:rPr>
          <w:spacing w:val="-4"/>
        </w:rPr>
        <w:t xml:space="preserve"> </w:t>
      </w:r>
      <w:r w:rsidRPr="00CA1535">
        <w:t>any</w:t>
      </w:r>
      <w:r w:rsidRPr="00CA1535">
        <w:rPr>
          <w:spacing w:val="-5"/>
        </w:rPr>
        <w:t xml:space="preserve"> </w:t>
      </w:r>
      <w:r w:rsidRPr="00CA1535">
        <w:t>system,</w:t>
      </w:r>
      <w:r w:rsidRPr="00CA1535">
        <w:rPr>
          <w:spacing w:val="-5"/>
        </w:rPr>
        <w:t xml:space="preserve"> </w:t>
      </w:r>
      <w:r w:rsidRPr="00CA1535">
        <w:t>or</w:t>
      </w:r>
      <w:r w:rsidRPr="00CA1535">
        <w:rPr>
          <w:spacing w:val="-4"/>
        </w:rPr>
        <w:t xml:space="preserve"> </w:t>
      </w:r>
      <w:r w:rsidRPr="00CA1535">
        <w:t>as</w:t>
      </w:r>
      <w:r w:rsidRPr="00CA1535">
        <w:rPr>
          <w:spacing w:val="-4"/>
        </w:rPr>
        <w:t xml:space="preserve"> </w:t>
      </w:r>
      <w:r w:rsidRPr="00CA1535">
        <w:t>critical</w:t>
      </w:r>
      <w:r w:rsidRPr="00CA1535">
        <w:rPr>
          <w:spacing w:val="-4"/>
        </w:rPr>
        <w:t xml:space="preserve"> </w:t>
      </w:r>
      <w:r w:rsidRPr="00CA1535">
        <w:t>technology</w:t>
      </w:r>
      <w:r w:rsidRPr="00CA1535">
        <w:rPr>
          <w:spacing w:val="-5"/>
        </w:rPr>
        <w:t xml:space="preserve"> </w:t>
      </w:r>
      <w:r w:rsidRPr="00CA1535">
        <w:t>as</w:t>
      </w:r>
      <w:r w:rsidRPr="00CA1535">
        <w:rPr>
          <w:spacing w:val="-4"/>
        </w:rPr>
        <w:t xml:space="preserve"> </w:t>
      </w:r>
      <w:r w:rsidRPr="00CA1535">
        <w:t>part</w:t>
      </w:r>
      <w:r w:rsidRPr="00CA1535">
        <w:rPr>
          <w:spacing w:val="-4"/>
        </w:rPr>
        <w:t xml:space="preserve"> </w:t>
      </w:r>
      <w:r w:rsidRPr="00CA1535">
        <w:t>of</w:t>
      </w:r>
      <w:r w:rsidRPr="00CA1535">
        <w:rPr>
          <w:spacing w:val="-4"/>
        </w:rPr>
        <w:t xml:space="preserve"> </w:t>
      </w:r>
      <w:r w:rsidRPr="00CA1535">
        <w:t>any</w:t>
      </w:r>
      <w:r w:rsidRPr="00CA1535">
        <w:rPr>
          <w:spacing w:val="-5"/>
        </w:rPr>
        <w:t xml:space="preserve"> </w:t>
      </w:r>
      <w:r w:rsidRPr="00CA1535">
        <w:t>system.</w:t>
      </w:r>
      <w:r w:rsidRPr="00CA1535">
        <w:rPr>
          <w:spacing w:val="-7"/>
        </w:rPr>
        <w:t xml:space="preserve"> </w:t>
      </w:r>
      <w:r w:rsidRPr="00CA1535">
        <w:t>As</w:t>
      </w:r>
      <w:r w:rsidRPr="00CA1535">
        <w:rPr>
          <w:spacing w:val="-4"/>
        </w:rPr>
        <w:t xml:space="preserve"> </w:t>
      </w:r>
      <w:r w:rsidRPr="00CA1535">
        <w:t>described</w:t>
      </w:r>
      <w:r w:rsidRPr="00CA1535">
        <w:rPr>
          <w:spacing w:val="-4"/>
        </w:rPr>
        <w:t xml:space="preserve"> </w:t>
      </w:r>
      <w:r w:rsidRPr="00CA1535">
        <w:t>in</w:t>
      </w:r>
      <w:r w:rsidRPr="00CA1535">
        <w:rPr>
          <w:spacing w:val="-5"/>
        </w:rPr>
        <w:t xml:space="preserve"> </w:t>
      </w:r>
      <w:r w:rsidRPr="00CA1535">
        <w:t>Public</w:t>
      </w:r>
      <w:r w:rsidRPr="00CA1535">
        <w:rPr>
          <w:spacing w:val="-4"/>
        </w:rPr>
        <w:t xml:space="preserve"> </w:t>
      </w:r>
      <w:r w:rsidRPr="00CA1535">
        <w:t>Law 115–232, section 889, covered telecommunications equipment is telecommunications equipment produced by Huawei Technologies Company or ZTE Corporation (or any subsidiary or affiliate of such</w:t>
      </w:r>
      <w:r w:rsidRPr="00CA1535">
        <w:rPr>
          <w:spacing w:val="-28"/>
        </w:rPr>
        <w:t xml:space="preserve"> </w:t>
      </w:r>
      <w:r w:rsidRPr="00CA1535">
        <w:t>entities).</w:t>
      </w:r>
    </w:p>
    <w:p w14:paraId="1DAC3297" w14:textId="77777777" w:rsidR="00D328EC" w:rsidRPr="00CA1535" w:rsidRDefault="00D328EC" w:rsidP="00D328EC">
      <w:pPr>
        <w:pStyle w:val="ListParagraph"/>
        <w:widowControl w:val="0"/>
        <w:numPr>
          <w:ilvl w:val="0"/>
          <w:numId w:val="63"/>
        </w:numPr>
        <w:tabs>
          <w:tab w:val="left" w:pos="461"/>
        </w:tabs>
        <w:autoSpaceDE w:val="0"/>
        <w:autoSpaceDN w:val="0"/>
        <w:spacing w:before="200" w:line="276" w:lineRule="auto"/>
        <w:ind w:left="1440" w:right="112"/>
        <w:contextualSpacing w:val="0"/>
        <w:jc w:val="both"/>
      </w:pPr>
      <w:r w:rsidRPr="00CA1535">
        <w:t>For</w:t>
      </w:r>
      <w:r w:rsidRPr="00CA1535">
        <w:rPr>
          <w:spacing w:val="-4"/>
        </w:rPr>
        <w:t xml:space="preserve"> </w:t>
      </w:r>
      <w:r w:rsidRPr="00CA1535">
        <w:t>the</w:t>
      </w:r>
      <w:r w:rsidRPr="00CA1535">
        <w:rPr>
          <w:spacing w:val="-4"/>
        </w:rPr>
        <w:t xml:space="preserve"> </w:t>
      </w:r>
      <w:r w:rsidRPr="00CA1535">
        <w:t>purpose</w:t>
      </w:r>
      <w:r w:rsidRPr="00CA1535">
        <w:rPr>
          <w:spacing w:val="-4"/>
        </w:rPr>
        <w:t xml:space="preserve"> </w:t>
      </w:r>
      <w:r w:rsidRPr="00CA1535">
        <w:t>of</w:t>
      </w:r>
      <w:r w:rsidRPr="00CA1535">
        <w:rPr>
          <w:spacing w:val="-4"/>
        </w:rPr>
        <w:t xml:space="preserve"> </w:t>
      </w:r>
      <w:r w:rsidRPr="00CA1535">
        <w:t>public</w:t>
      </w:r>
      <w:r w:rsidRPr="00CA1535">
        <w:rPr>
          <w:spacing w:val="-4"/>
        </w:rPr>
        <w:t xml:space="preserve"> </w:t>
      </w:r>
      <w:r w:rsidRPr="00CA1535">
        <w:t>safety,</w:t>
      </w:r>
      <w:r w:rsidRPr="00CA1535">
        <w:rPr>
          <w:spacing w:val="-5"/>
        </w:rPr>
        <w:t xml:space="preserve"> </w:t>
      </w:r>
      <w:r w:rsidRPr="00CA1535">
        <w:t>security</w:t>
      </w:r>
      <w:r w:rsidRPr="00CA1535">
        <w:rPr>
          <w:spacing w:val="-5"/>
        </w:rPr>
        <w:t xml:space="preserve"> </w:t>
      </w:r>
      <w:r w:rsidRPr="00CA1535">
        <w:t>of</w:t>
      </w:r>
      <w:r w:rsidRPr="00CA1535">
        <w:rPr>
          <w:spacing w:val="-4"/>
        </w:rPr>
        <w:t xml:space="preserve"> </w:t>
      </w:r>
      <w:r w:rsidRPr="00CA1535">
        <w:t>government facilities,</w:t>
      </w:r>
      <w:r w:rsidRPr="00CA1535">
        <w:rPr>
          <w:spacing w:val="-5"/>
        </w:rPr>
        <w:t xml:space="preserve"> </w:t>
      </w:r>
      <w:r w:rsidRPr="00CA1535">
        <w:t>physical</w:t>
      </w:r>
      <w:r w:rsidRPr="00CA1535">
        <w:rPr>
          <w:spacing w:val="-4"/>
        </w:rPr>
        <w:t xml:space="preserve"> </w:t>
      </w:r>
      <w:r w:rsidRPr="00CA1535">
        <w:t>security</w:t>
      </w:r>
      <w:r w:rsidRPr="00CA1535">
        <w:rPr>
          <w:spacing w:val="-5"/>
        </w:rPr>
        <w:t xml:space="preserve"> </w:t>
      </w:r>
      <w:r w:rsidRPr="00CA1535">
        <w:t>surveillance</w:t>
      </w:r>
      <w:r w:rsidRPr="00CA1535">
        <w:rPr>
          <w:spacing w:val="-4"/>
        </w:rPr>
        <w:t xml:space="preserve"> </w:t>
      </w:r>
      <w:r w:rsidRPr="00CA1535">
        <w:t>of</w:t>
      </w:r>
      <w:r w:rsidRPr="00CA1535">
        <w:rPr>
          <w:spacing w:val="-6"/>
        </w:rPr>
        <w:t xml:space="preserve"> </w:t>
      </w:r>
      <w:r w:rsidRPr="00CA1535">
        <w:t>critical infrastructure,</w:t>
      </w:r>
      <w:r w:rsidRPr="00CA1535">
        <w:rPr>
          <w:spacing w:val="-6"/>
        </w:rPr>
        <w:t xml:space="preserve"> </w:t>
      </w:r>
      <w:r w:rsidRPr="00CA1535">
        <w:t>and</w:t>
      </w:r>
      <w:r w:rsidRPr="00CA1535">
        <w:rPr>
          <w:spacing w:val="-3"/>
        </w:rPr>
        <w:t xml:space="preserve"> </w:t>
      </w:r>
      <w:r w:rsidRPr="00CA1535">
        <w:t>other</w:t>
      </w:r>
      <w:r w:rsidRPr="00CA1535">
        <w:rPr>
          <w:spacing w:val="-2"/>
        </w:rPr>
        <w:t xml:space="preserve"> </w:t>
      </w:r>
      <w:r w:rsidRPr="00CA1535">
        <w:t>national</w:t>
      </w:r>
      <w:r w:rsidRPr="00CA1535">
        <w:rPr>
          <w:spacing w:val="-5"/>
        </w:rPr>
        <w:t xml:space="preserve"> </w:t>
      </w:r>
      <w:r w:rsidRPr="00CA1535">
        <w:t>security</w:t>
      </w:r>
      <w:r w:rsidRPr="00CA1535">
        <w:rPr>
          <w:spacing w:val="-6"/>
        </w:rPr>
        <w:t xml:space="preserve"> </w:t>
      </w:r>
      <w:r w:rsidRPr="00CA1535">
        <w:t>purposes,</w:t>
      </w:r>
      <w:r w:rsidRPr="00CA1535">
        <w:rPr>
          <w:spacing w:val="-5"/>
        </w:rPr>
        <w:t xml:space="preserve"> </w:t>
      </w:r>
      <w:r w:rsidRPr="00CA1535">
        <w:t>video</w:t>
      </w:r>
      <w:r w:rsidRPr="00CA1535">
        <w:rPr>
          <w:spacing w:val="-3"/>
        </w:rPr>
        <w:t xml:space="preserve"> </w:t>
      </w:r>
      <w:r w:rsidRPr="00CA1535">
        <w:t>surveillance</w:t>
      </w:r>
      <w:r w:rsidRPr="00CA1535">
        <w:rPr>
          <w:spacing w:val="-5"/>
        </w:rPr>
        <w:t xml:space="preserve"> </w:t>
      </w:r>
      <w:r w:rsidRPr="00CA1535">
        <w:t>and</w:t>
      </w:r>
      <w:r w:rsidRPr="00CA1535">
        <w:rPr>
          <w:spacing w:val="-3"/>
        </w:rPr>
        <w:t xml:space="preserve"> </w:t>
      </w:r>
      <w:r w:rsidRPr="00CA1535">
        <w:t>telecommunications</w:t>
      </w:r>
      <w:r w:rsidRPr="00CA1535">
        <w:rPr>
          <w:spacing w:val="-4"/>
        </w:rPr>
        <w:t xml:space="preserve"> </w:t>
      </w:r>
      <w:r w:rsidRPr="00CA1535">
        <w:t xml:space="preserve">equipment produced by Hytera Communications Corporation, Hangzhou Hikvision Digital Technology Company, or Dahua Technology </w:t>
      </w:r>
      <w:r w:rsidRPr="00CA1535">
        <w:lastRenderedPageBreak/>
        <w:t>Company (or any subsidiary or affiliate of such</w:t>
      </w:r>
      <w:r w:rsidRPr="00CA1535">
        <w:rPr>
          <w:spacing w:val="-19"/>
        </w:rPr>
        <w:t xml:space="preserve"> </w:t>
      </w:r>
      <w:r w:rsidRPr="00CA1535">
        <w:t>entities).</w:t>
      </w:r>
    </w:p>
    <w:p w14:paraId="721D85BF" w14:textId="77777777" w:rsidR="00D328EC" w:rsidRPr="00CA1535" w:rsidRDefault="00D328EC" w:rsidP="00D328EC">
      <w:pPr>
        <w:pStyle w:val="BodyText"/>
        <w:spacing w:before="4"/>
        <w:ind w:left="270"/>
        <w:jc w:val="both"/>
        <w:rPr>
          <w:sz w:val="25"/>
        </w:rPr>
      </w:pPr>
    </w:p>
    <w:p w14:paraId="71A0E7BF" w14:textId="77777777" w:rsidR="00D328EC" w:rsidRPr="00CA1535" w:rsidRDefault="00D328EC" w:rsidP="00D328EC">
      <w:pPr>
        <w:pStyle w:val="ListParagraph"/>
        <w:widowControl w:val="0"/>
        <w:numPr>
          <w:ilvl w:val="0"/>
          <w:numId w:val="63"/>
        </w:numPr>
        <w:tabs>
          <w:tab w:val="left" w:pos="461"/>
        </w:tabs>
        <w:autoSpaceDE w:val="0"/>
        <w:autoSpaceDN w:val="0"/>
        <w:ind w:left="1440"/>
        <w:contextualSpacing w:val="0"/>
        <w:jc w:val="both"/>
      </w:pPr>
      <w:r w:rsidRPr="00CA1535">
        <w:t>Telecommunications or video surveillance services provided by such entities or using such</w:t>
      </w:r>
      <w:r w:rsidRPr="00CA1535">
        <w:rPr>
          <w:spacing w:val="-33"/>
        </w:rPr>
        <w:t xml:space="preserve"> </w:t>
      </w:r>
      <w:r w:rsidRPr="00CA1535">
        <w:t>equipment.</w:t>
      </w:r>
    </w:p>
    <w:p w14:paraId="44E771DD" w14:textId="77777777" w:rsidR="00D328EC" w:rsidRPr="00CA1535" w:rsidRDefault="00D328EC" w:rsidP="00D328EC">
      <w:pPr>
        <w:pStyle w:val="BodyText"/>
        <w:spacing w:before="4"/>
        <w:ind w:left="270"/>
        <w:jc w:val="both"/>
        <w:rPr>
          <w:sz w:val="25"/>
        </w:rPr>
      </w:pPr>
    </w:p>
    <w:p w14:paraId="7E07FF47" w14:textId="77777777" w:rsidR="00D328EC" w:rsidRPr="00CA1535" w:rsidRDefault="00D328EC" w:rsidP="00D328EC">
      <w:pPr>
        <w:pStyle w:val="ListParagraph"/>
        <w:widowControl w:val="0"/>
        <w:numPr>
          <w:ilvl w:val="0"/>
          <w:numId w:val="63"/>
        </w:numPr>
        <w:tabs>
          <w:tab w:val="left" w:pos="461"/>
        </w:tabs>
        <w:autoSpaceDE w:val="0"/>
        <w:autoSpaceDN w:val="0"/>
        <w:spacing w:line="276" w:lineRule="auto"/>
        <w:ind w:left="1440" w:right="113"/>
        <w:contextualSpacing w:val="0"/>
        <w:jc w:val="both"/>
      </w:pPr>
      <w:r w:rsidRPr="00CA1535">
        <w:t>Telecommunications or video surveillance equipment or services produced or provided by an entity that the Secretary of Defense, in consultation with the Director of the National Intelligence or the Director of the</w:t>
      </w:r>
      <w:r w:rsidRPr="00CA1535">
        <w:rPr>
          <w:spacing w:val="-14"/>
        </w:rPr>
        <w:t xml:space="preserve"> </w:t>
      </w:r>
      <w:r w:rsidRPr="00CA1535">
        <w:t>Federal</w:t>
      </w:r>
      <w:r w:rsidRPr="00CA1535">
        <w:rPr>
          <w:spacing w:val="-13"/>
        </w:rPr>
        <w:t xml:space="preserve"> </w:t>
      </w:r>
      <w:r w:rsidRPr="00CA1535">
        <w:t>Bureau</w:t>
      </w:r>
      <w:r w:rsidRPr="00CA1535">
        <w:rPr>
          <w:spacing w:val="-17"/>
        </w:rPr>
        <w:t xml:space="preserve"> </w:t>
      </w:r>
      <w:r w:rsidRPr="00CA1535">
        <w:t>of</w:t>
      </w:r>
      <w:r w:rsidRPr="00CA1535">
        <w:rPr>
          <w:spacing w:val="-16"/>
        </w:rPr>
        <w:t xml:space="preserve"> </w:t>
      </w:r>
      <w:r w:rsidRPr="00CA1535">
        <w:t>Investigation,</w:t>
      </w:r>
      <w:r w:rsidRPr="00CA1535">
        <w:rPr>
          <w:spacing w:val="-17"/>
        </w:rPr>
        <w:t xml:space="preserve"> </w:t>
      </w:r>
      <w:r w:rsidRPr="00CA1535">
        <w:t>reasonably</w:t>
      </w:r>
      <w:r w:rsidRPr="00CA1535">
        <w:rPr>
          <w:spacing w:val="-14"/>
        </w:rPr>
        <w:t xml:space="preserve"> </w:t>
      </w:r>
      <w:r w:rsidRPr="00CA1535">
        <w:t>believes</w:t>
      </w:r>
      <w:r w:rsidRPr="00CA1535">
        <w:rPr>
          <w:spacing w:val="-16"/>
        </w:rPr>
        <w:t xml:space="preserve"> </w:t>
      </w:r>
      <w:r w:rsidRPr="00CA1535">
        <w:t>to</w:t>
      </w:r>
      <w:r w:rsidRPr="00CA1535">
        <w:rPr>
          <w:spacing w:val="-17"/>
        </w:rPr>
        <w:t xml:space="preserve"> </w:t>
      </w:r>
      <w:r w:rsidRPr="00CA1535">
        <w:t>be</w:t>
      </w:r>
      <w:r w:rsidRPr="00CA1535">
        <w:rPr>
          <w:spacing w:val="-16"/>
        </w:rPr>
        <w:t xml:space="preserve"> </w:t>
      </w:r>
      <w:r w:rsidRPr="00CA1535">
        <w:t>an</w:t>
      </w:r>
      <w:r w:rsidRPr="00CA1535">
        <w:rPr>
          <w:spacing w:val="-16"/>
        </w:rPr>
        <w:t xml:space="preserve"> </w:t>
      </w:r>
      <w:r w:rsidRPr="00CA1535">
        <w:t>entity</w:t>
      </w:r>
      <w:r w:rsidRPr="00CA1535">
        <w:rPr>
          <w:spacing w:val="-14"/>
        </w:rPr>
        <w:t xml:space="preserve"> </w:t>
      </w:r>
      <w:r w:rsidRPr="00CA1535">
        <w:t>owned</w:t>
      </w:r>
      <w:r w:rsidRPr="00CA1535">
        <w:rPr>
          <w:spacing w:val="-14"/>
        </w:rPr>
        <w:t xml:space="preserve"> </w:t>
      </w:r>
      <w:r w:rsidRPr="00CA1535">
        <w:t>or</w:t>
      </w:r>
      <w:r w:rsidRPr="00CA1535">
        <w:rPr>
          <w:spacing w:val="-16"/>
        </w:rPr>
        <w:t xml:space="preserve"> </w:t>
      </w:r>
      <w:r w:rsidRPr="00CA1535">
        <w:t>controlled</w:t>
      </w:r>
      <w:r w:rsidRPr="00CA1535">
        <w:rPr>
          <w:spacing w:val="-16"/>
        </w:rPr>
        <w:t xml:space="preserve"> </w:t>
      </w:r>
      <w:r w:rsidRPr="00CA1535">
        <w:t>by,</w:t>
      </w:r>
      <w:r w:rsidRPr="00CA1535">
        <w:rPr>
          <w:spacing w:val="-14"/>
        </w:rPr>
        <w:t xml:space="preserve"> </w:t>
      </w:r>
      <w:r w:rsidRPr="00CA1535">
        <w:t>or</w:t>
      </w:r>
      <w:r w:rsidRPr="00CA1535">
        <w:rPr>
          <w:spacing w:val="-14"/>
        </w:rPr>
        <w:t xml:space="preserve"> </w:t>
      </w:r>
      <w:r w:rsidRPr="00CA1535">
        <w:t>otherwise connected to, the government of a covered foreign</w:t>
      </w:r>
      <w:r w:rsidRPr="00CA1535">
        <w:rPr>
          <w:spacing w:val="-13"/>
        </w:rPr>
        <w:t xml:space="preserve"> </w:t>
      </w:r>
      <w:r w:rsidRPr="00CA1535">
        <w:t>county.</w:t>
      </w:r>
    </w:p>
    <w:p w14:paraId="13D93863" w14:textId="77777777" w:rsidR="00D328EC" w:rsidRPr="00CA1535" w:rsidRDefault="00D328EC" w:rsidP="009B2229">
      <w:pPr>
        <w:pStyle w:val="BodyText"/>
        <w:spacing w:before="11"/>
        <w:jc w:val="both"/>
        <w:rPr>
          <w:sz w:val="21"/>
        </w:rPr>
      </w:pPr>
    </w:p>
    <w:p w14:paraId="28A74EB9" w14:textId="7707C636" w:rsidR="009B2229" w:rsidRPr="00CA1535" w:rsidRDefault="00D328EC" w:rsidP="009B2229">
      <w:pPr>
        <w:pStyle w:val="BodyText"/>
        <w:spacing w:line="276" w:lineRule="auto"/>
        <w:ind w:left="360" w:right="113"/>
        <w:jc w:val="both"/>
      </w:pPr>
      <w:r w:rsidRPr="00CA1535">
        <w:t>In implementing the prohibition under Public Law 115-232, section 889, subsection (f), paragraph (1), heads of executive agencies administering loan, grant, or subsidy programs shall prioritize available funding and technical support to assist affected businesses, institutions and organizations as is reasonably necessary for those affected entities to transition from covered communications equipment and services, to procure replacement equipment and services, and to ensure that communications service to users and customers is sustained.</w:t>
      </w:r>
    </w:p>
    <w:p w14:paraId="4875E569" w14:textId="77777777" w:rsidR="00D328EC" w:rsidRPr="00CA1535" w:rsidRDefault="00D328EC" w:rsidP="00D328EC">
      <w:pPr>
        <w:pStyle w:val="BodyText"/>
        <w:spacing w:before="202" w:line="276" w:lineRule="auto"/>
        <w:ind w:left="360" w:right="119"/>
        <w:jc w:val="both"/>
      </w:pPr>
      <w:r w:rsidRPr="00CA1535">
        <w:t>These</w:t>
      </w:r>
      <w:r w:rsidRPr="00CA1535">
        <w:rPr>
          <w:spacing w:val="-4"/>
        </w:rPr>
        <w:t xml:space="preserve"> </w:t>
      </w:r>
      <w:r w:rsidRPr="00CA1535">
        <w:t>requirements</w:t>
      </w:r>
      <w:r w:rsidRPr="00CA1535">
        <w:rPr>
          <w:spacing w:val="-4"/>
        </w:rPr>
        <w:t xml:space="preserve"> </w:t>
      </w:r>
      <w:r w:rsidRPr="00CA1535">
        <w:t>shall</w:t>
      </w:r>
      <w:r w:rsidRPr="00CA1535">
        <w:rPr>
          <w:spacing w:val="-4"/>
        </w:rPr>
        <w:t xml:space="preserve"> </w:t>
      </w:r>
      <w:r w:rsidRPr="00CA1535">
        <w:t>extend</w:t>
      </w:r>
      <w:r w:rsidRPr="00CA1535">
        <w:rPr>
          <w:spacing w:val="-7"/>
        </w:rPr>
        <w:t xml:space="preserve"> </w:t>
      </w:r>
      <w:r w:rsidRPr="00CA1535">
        <w:t>to</w:t>
      </w:r>
      <w:r w:rsidRPr="00CA1535">
        <w:rPr>
          <w:spacing w:val="-5"/>
        </w:rPr>
        <w:t xml:space="preserve"> </w:t>
      </w:r>
      <w:r w:rsidRPr="00CA1535">
        <w:t>all</w:t>
      </w:r>
      <w:r w:rsidRPr="00CA1535">
        <w:rPr>
          <w:spacing w:val="-4"/>
        </w:rPr>
        <w:t xml:space="preserve"> </w:t>
      </w:r>
      <w:r w:rsidRPr="00CA1535">
        <w:t>third-party</w:t>
      </w:r>
      <w:r w:rsidRPr="00CA1535">
        <w:rPr>
          <w:spacing w:val="-5"/>
        </w:rPr>
        <w:t xml:space="preserve"> </w:t>
      </w:r>
      <w:r w:rsidRPr="00CA1535">
        <w:t>contractors</w:t>
      </w:r>
      <w:r w:rsidRPr="00CA1535">
        <w:rPr>
          <w:spacing w:val="-4"/>
        </w:rPr>
        <w:t xml:space="preserve"> </w:t>
      </w:r>
      <w:r w:rsidRPr="00CA1535">
        <w:t>and</w:t>
      </w:r>
      <w:r w:rsidRPr="00CA1535">
        <w:rPr>
          <w:spacing w:val="-4"/>
        </w:rPr>
        <w:t xml:space="preserve"> </w:t>
      </w:r>
      <w:r w:rsidRPr="00CA1535">
        <w:t>their</w:t>
      </w:r>
      <w:r w:rsidRPr="00CA1535">
        <w:rPr>
          <w:spacing w:val="-4"/>
        </w:rPr>
        <w:t xml:space="preserve"> </w:t>
      </w:r>
      <w:r w:rsidRPr="00CA1535">
        <w:t>contracts</w:t>
      </w:r>
      <w:r w:rsidRPr="00CA1535">
        <w:rPr>
          <w:spacing w:val="-4"/>
        </w:rPr>
        <w:t xml:space="preserve"> </w:t>
      </w:r>
      <w:r w:rsidRPr="00CA1535">
        <w:t>at</w:t>
      </w:r>
      <w:r w:rsidRPr="00CA1535">
        <w:rPr>
          <w:spacing w:val="-4"/>
        </w:rPr>
        <w:t xml:space="preserve"> </w:t>
      </w:r>
      <w:r w:rsidRPr="00CA1535">
        <w:t>every</w:t>
      </w:r>
      <w:r w:rsidRPr="00CA1535">
        <w:rPr>
          <w:spacing w:val="-5"/>
        </w:rPr>
        <w:t xml:space="preserve"> </w:t>
      </w:r>
      <w:r w:rsidRPr="00CA1535">
        <w:t>tier</w:t>
      </w:r>
      <w:r w:rsidRPr="00CA1535">
        <w:rPr>
          <w:spacing w:val="-4"/>
        </w:rPr>
        <w:t xml:space="preserve"> </w:t>
      </w:r>
      <w:r w:rsidRPr="00CA1535">
        <w:t>and</w:t>
      </w:r>
      <w:r w:rsidRPr="00CA1535">
        <w:rPr>
          <w:spacing w:val="-5"/>
        </w:rPr>
        <w:t xml:space="preserve"> </w:t>
      </w:r>
      <w:r w:rsidRPr="00CA1535">
        <w:t>subrecipients and their subcontracts at every</w:t>
      </w:r>
      <w:r w:rsidRPr="00CA1535">
        <w:rPr>
          <w:spacing w:val="-10"/>
        </w:rPr>
        <w:t xml:space="preserve"> </w:t>
      </w:r>
      <w:r w:rsidRPr="00CA1535">
        <w:t>tier.</w:t>
      </w:r>
    </w:p>
    <w:p w14:paraId="0D2D64F5" w14:textId="77777777" w:rsidR="00DD6D54" w:rsidRPr="00CA1535" w:rsidRDefault="00DD6D54" w:rsidP="00DD6D54">
      <w:pPr>
        <w:spacing w:before="200" w:after="200" w:line="276" w:lineRule="auto"/>
        <w:ind w:left="360"/>
        <w:jc w:val="both"/>
        <w:rPr>
          <w:b/>
          <w:caps/>
          <w:sz w:val="22"/>
          <w:szCs w:val="22"/>
        </w:rPr>
      </w:pPr>
      <w:bookmarkStart w:id="4" w:name="_Hlk524084817"/>
      <w:r w:rsidRPr="00CA1535">
        <w:rPr>
          <w:b/>
          <w:caps/>
          <w:sz w:val="22"/>
          <w:szCs w:val="22"/>
        </w:rPr>
        <w:t>Restrictions on Public Buildings and Public Works Projects Certification</w:t>
      </w:r>
    </w:p>
    <w:p w14:paraId="2186CB5F" w14:textId="77777777" w:rsidR="00DD6D54" w:rsidRPr="00CA1535" w:rsidRDefault="00DD6D54" w:rsidP="00BC1B3F">
      <w:pPr>
        <w:numPr>
          <w:ilvl w:val="1"/>
          <w:numId w:val="44"/>
        </w:numPr>
        <w:spacing w:before="200" w:after="200" w:line="276" w:lineRule="auto"/>
        <w:jc w:val="both"/>
        <w:rPr>
          <w:sz w:val="22"/>
          <w:szCs w:val="22"/>
        </w:rPr>
      </w:pPr>
      <w:r w:rsidRPr="00CA1535">
        <w:rPr>
          <w:sz w:val="22"/>
          <w:szCs w:val="22"/>
        </w:rPr>
        <w:t>Definitions.  The definitions pertaining to this provision are those that are set forth on the clause entitled “Restrictions on Public Works Projects.”  (Set out under “Contract Clauses” below.)</w:t>
      </w:r>
    </w:p>
    <w:p w14:paraId="4B34B01C" w14:textId="77777777" w:rsidR="00DD6D54" w:rsidRPr="00CA1535" w:rsidRDefault="00DD6D54" w:rsidP="00BC1B3F">
      <w:pPr>
        <w:numPr>
          <w:ilvl w:val="1"/>
          <w:numId w:val="44"/>
        </w:numPr>
        <w:spacing w:before="200" w:after="200" w:line="276" w:lineRule="auto"/>
        <w:jc w:val="both"/>
        <w:rPr>
          <w:sz w:val="22"/>
          <w:szCs w:val="22"/>
        </w:rPr>
      </w:pPr>
      <w:r w:rsidRPr="00CA1535">
        <w:rPr>
          <w:sz w:val="22"/>
          <w:szCs w:val="22"/>
        </w:rPr>
        <w:t>Certification.  Except as provided in paragraph (C) of this provision, by submission of its bid or proposal, Bidder certifies that it:</w:t>
      </w:r>
    </w:p>
    <w:p w14:paraId="3F550FA4" w14:textId="77777777" w:rsidR="00DD6D54" w:rsidRPr="00CA1535" w:rsidRDefault="00DD6D54" w:rsidP="00BC1B3F">
      <w:pPr>
        <w:numPr>
          <w:ilvl w:val="2"/>
          <w:numId w:val="44"/>
        </w:numPr>
        <w:spacing w:before="200" w:after="200" w:line="276" w:lineRule="auto"/>
        <w:jc w:val="both"/>
        <w:rPr>
          <w:sz w:val="22"/>
          <w:szCs w:val="22"/>
        </w:rPr>
      </w:pPr>
      <w:r w:rsidRPr="00CA1535">
        <w:rPr>
          <w:sz w:val="22"/>
          <w:szCs w:val="22"/>
        </w:rPr>
        <w:t>Is not a Contractor of a foreign country included on the list of countries that discriminate against U.S. firms published by the Office of the United States Trade Representative (USTR) (see paragraph (H) of this provision);</w:t>
      </w:r>
    </w:p>
    <w:p w14:paraId="3D45EEE1" w14:textId="77777777" w:rsidR="00DD6D54" w:rsidRPr="00CA1535" w:rsidRDefault="00DD6D54" w:rsidP="00BC1B3F">
      <w:pPr>
        <w:numPr>
          <w:ilvl w:val="2"/>
          <w:numId w:val="44"/>
        </w:numPr>
        <w:spacing w:before="200" w:after="200" w:line="276" w:lineRule="auto"/>
        <w:jc w:val="both"/>
        <w:rPr>
          <w:sz w:val="22"/>
          <w:szCs w:val="22"/>
        </w:rPr>
      </w:pPr>
      <w:r w:rsidRPr="00CA1535">
        <w:rPr>
          <w:sz w:val="22"/>
          <w:szCs w:val="22"/>
        </w:rPr>
        <w:t>Has not or will not enter into any subcontract with a subcontractor of a foreign country included on the list of countries that discriminate against U.S. firms published by the USTR, and</w:t>
      </w:r>
    </w:p>
    <w:p w14:paraId="3EEA0195" w14:textId="77777777" w:rsidR="00DD6D54" w:rsidRPr="00CA1535" w:rsidRDefault="00DD6D54" w:rsidP="00BC1B3F">
      <w:pPr>
        <w:numPr>
          <w:ilvl w:val="2"/>
          <w:numId w:val="44"/>
        </w:numPr>
        <w:spacing w:before="200" w:after="200" w:line="276" w:lineRule="auto"/>
        <w:jc w:val="both"/>
        <w:rPr>
          <w:sz w:val="22"/>
          <w:szCs w:val="22"/>
        </w:rPr>
      </w:pPr>
      <w:r w:rsidRPr="00CA1535">
        <w:rPr>
          <w:sz w:val="22"/>
          <w:szCs w:val="22"/>
        </w:rPr>
        <w:t>Will not provide any product of a country included on the list of foreign countries that discriminate against the U.S. firms published by the USTR.</w:t>
      </w:r>
    </w:p>
    <w:p w14:paraId="324B94C9" w14:textId="77777777" w:rsidR="00DD6D54" w:rsidRPr="00CA1535" w:rsidRDefault="00DD6D54" w:rsidP="00BC1B3F">
      <w:pPr>
        <w:numPr>
          <w:ilvl w:val="1"/>
          <w:numId w:val="44"/>
        </w:numPr>
        <w:spacing w:before="200" w:after="200" w:line="276" w:lineRule="auto"/>
        <w:jc w:val="both"/>
        <w:rPr>
          <w:sz w:val="22"/>
          <w:szCs w:val="22"/>
        </w:rPr>
      </w:pPr>
      <w:r w:rsidRPr="00CA1535">
        <w:rPr>
          <w:sz w:val="22"/>
          <w:szCs w:val="22"/>
        </w:rPr>
        <w:t>Inability to certify. A Bidder unable to certify in accordance with paragraph (b) of this provision shall submit with its offer a written explanation fully describing the reasons for its inability to make the certification.</w:t>
      </w:r>
    </w:p>
    <w:p w14:paraId="1897ACD4" w14:textId="77777777" w:rsidR="00DD6D54" w:rsidRPr="00CA1535" w:rsidRDefault="00DD6D54" w:rsidP="00BC1B3F">
      <w:pPr>
        <w:numPr>
          <w:ilvl w:val="1"/>
          <w:numId w:val="44"/>
        </w:numPr>
        <w:spacing w:before="200" w:after="200" w:line="276" w:lineRule="auto"/>
        <w:jc w:val="both"/>
        <w:rPr>
          <w:sz w:val="22"/>
          <w:szCs w:val="22"/>
        </w:rPr>
      </w:pPr>
      <w:r w:rsidRPr="00CA1535">
        <w:rPr>
          <w:sz w:val="22"/>
          <w:szCs w:val="22"/>
        </w:rPr>
        <w:lastRenderedPageBreak/>
        <w:t>Applicability of 18 U.S.C. 1001.  This certification is paragraph (B) of this provision concerns a matter within the jurisdiction of an agency of the United States, and the making of a false, fictitious, or fraudulent certification may render the maker subject to prosecution under Title 18 U.S.C. 1001.</w:t>
      </w:r>
    </w:p>
    <w:p w14:paraId="0DCDF146" w14:textId="77777777" w:rsidR="00DD6D54" w:rsidRPr="00CA1535" w:rsidRDefault="00DD6D54" w:rsidP="00BC1B3F">
      <w:pPr>
        <w:numPr>
          <w:ilvl w:val="1"/>
          <w:numId w:val="44"/>
        </w:numPr>
        <w:spacing w:before="200" w:after="200" w:line="276" w:lineRule="auto"/>
        <w:jc w:val="both"/>
        <w:rPr>
          <w:sz w:val="22"/>
          <w:szCs w:val="22"/>
        </w:rPr>
      </w:pPr>
      <w:r w:rsidRPr="00CA1535">
        <w:rPr>
          <w:sz w:val="22"/>
          <w:szCs w:val="22"/>
        </w:rPr>
        <w:t>Notice. Bidder shall provide written notice to the Contracting Officer if, at any time before the contract award, Bidder learns that its certification was erroneous when submitted or has become erroneous by reason of changed circumstances.</w:t>
      </w:r>
    </w:p>
    <w:p w14:paraId="30ADBD02" w14:textId="77777777" w:rsidR="00DD6D54" w:rsidRPr="00CA1535" w:rsidRDefault="00DD6D54" w:rsidP="00BC1B3F">
      <w:pPr>
        <w:numPr>
          <w:ilvl w:val="1"/>
          <w:numId w:val="44"/>
        </w:numPr>
        <w:spacing w:before="200" w:after="200" w:line="276" w:lineRule="auto"/>
        <w:jc w:val="both"/>
        <w:rPr>
          <w:sz w:val="22"/>
          <w:szCs w:val="22"/>
        </w:rPr>
      </w:pPr>
      <w:r w:rsidRPr="00CA1535">
        <w:rPr>
          <w:sz w:val="22"/>
          <w:szCs w:val="22"/>
        </w:rPr>
        <w:t>Restrictions on contract award. Unless a waiver to these restrictions is granted by the Secretary of Housing and Urban Development, no contract will be awarded to a Bidder (1) who is owned or controlled by a citizen or national of a foreign country included on the list of foreign countries that discriminate against U.S. firms published by the USTR, (2) whose subcontractors are owned or controlled by citizens or national of a foreign country on the USTR list or, (3) who incorporates any product of a foreign country on the USTR list in the public works project.</w:t>
      </w:r>
    </w:p>
    <w:p w14:paraId="1438C082" w14:textId="77777777" w:rsidR="00DD6D54" w:rsidRPr="00CA1535" w:rsidRDefault="00DD6D54" w:rsidP="00BC1B3F">
      <w:pPr>
        <w:numPr>
          <w:ilvl w:val="1"/>
          <w:numId w:val="44"/>
        </w:numPr>
        <w:spacing w:before="200" w:after="200" w:line="276" w:lineRule="auto"/>
        <w:jc w:val="both"/>
        <w:rPr>
          <w:sz w:val="22"/>
          <w:szCs w:val="22"/>
        </w:rPr>
      </w:pPr>
      <w:r w:rsidRPr="00CA1535">
        <w:rPr>
          <w:sz w:val="22"/>
          <w:szCs w:val="22"/>
        </w:rPr>
        <w:t>USTR List.  The USTR published an initial list in the Federal Register on December 30, 1987 (53 FR 49244), which identified one country-Japan.  The USTR can add countries to the list, and remove countries from it, in accordance with section 109 (C) of PUB. L. 100-202.</w:t>
      </w:r>
    </w:p>
    <w:p w14:paraId="603DF957" w14:textId="77777777" w:rsidR="00DD6D54" w:rsidRPr="00CA1535" w:rsidRDefault="00DD6D54" w:rsidP="00DD6D54">
      <w:pPr>
        <w:spacing w:before="200" w:after="200" w:line="276" w:lineRule="auto"/>
        <w:ind w:left="360"/>
        <w:jc w:val="both"/>
        <w:rPr>
          <w:b/>
          <w:sz w:val="22"/>
          <w:szCs w:val="22"/>
        </w:rPr>
      </w:pPr>
      <w:r w:rsidRPr="00CA1535">
        <w:rPr>
          <w:b/>
          <w:caps/>
          <w:sz w:val="22"/>
          <w:szCs w:val="22"/>
        </w:rPr>
        <w:t>Restrictions on Public Buildings and Public Works Projects</w:t>
      </w:r>
    </w:p>
    <w:p w14:paraId="44936EB3" w14:textId="77777777" w:rsidR="00DD6D54" w:rsidRPr="00CA1535" w:rsidRDefault="00DD6D54" w:rsidP="00BC1B3F">
      <w:pPr>
        <w:numPr>
          <w:ilvl w:val="0"/>
          <w:numId w:val="47"/>
        </w:numPr>
        <w:spacing w:before="200" w:after="200" w:line="276" w:lineRule="auto"/>
        <w:jc w:val="both"/>
        <w:rPr>
          <w:sz w:val="22"/>
          <w:szCs w:val="22"/>
        </w:rPr>
      </w:pPr>
      <w:r w:rsidRPr="00CA1535">
        <w:rPr>
          <w:sz w:val="22"/>
          <w:szCs w:val="22"/>
        </w:rPr>
        <w:t>Definitions.  “Component”, as used in this clause, means those articles, materials, and supplies incorporated directly into the product.  “Contractor or subcontractor of a foreign country,” as used in this clause, means any Contractor or subcontractor that is a citizen or national of a foreign country or is controlled directly or indirectly by citizens or nationals of a foreign country.  A contractor or subcontractor shall be considered to be a citizen or national of a foreign country, or controlled directly or indirectly by citizens or nationals of a foreign country:</w:t>
      </w:r>
    </w:p>
    <w:p w14:paraId="670A98AD" w14:textId="77777777" w:rsidR="00DD6D54" w:rsidRPr="00CA1535" w:rsidRDefault="00DD6D54" w:rsidP="00BC1B3F">
      <w:pPr>
        <w:numPr>
          <w:ilvl w:val="2"/>
          <w:numId w:val="44"/>
        </w:numPr>
        <w:spacing w:before="200" w:after="200" w:line="276" w:lineRule="auto"/>
        <w:jc w:val="both"/>
        <w:rPr>
          <w:sz w:val="22"/>
          <w:szCs w:val="22"/>
        </w:rPr>
      </w:pPr>
      <w:r w:rsidRPr="00CA1535">
        <w:rPr>
          <w:sz w:val="22"/>
          <w:szCs w:val="22"/>
        </w:rPr>
        <w:t>If 50 percent or more of the Contractor or subcontractor is owned by a citizen or a national of the foreign country;</w:t>
      </w:r>
    </w:p>
    <w:p w14:paraId="1C9001E9" w14:textId="77777777" w:rsidR="00DD6D54" w:rsidRPr="00CA1535" w:rsidRDefault="00DD6D54" w:rsidP="00BC1B3F">
      <w:pPr>
        <w:numPr>
          <w:ilvl w:val="2"/>
          <w:numId w:val="44"/>
        </w:numPr>
        <w:spacing w:before="200" w:after="200" w:line="276" w:lineRule="auto"/>
        <w:jc w:val="both"/>
        <w:rPr>
          <w:sz w:val="22"/>
          <w:szCs w:val="22"/>
        </w:rPr>
      </w:pPr>
      <w:r w:rsidRPr="00CA1535">
        <w:rPr>
          <w:sz w:val="22"/>
          <w:szCs w:val="22"/>
        </w:rPr>
        <w:t>If the title to 50 percent of more of the stock of the Contractor or subcontractor is held subject to trust or fiduciary obligation in favor of citizens or nationals of the foreign country.</w:t>
      </w:r>
    </w:p>
    <w:p w14:paraId="5BA6120C" w14:textId="77777777" w:rsidR="00DD6D54" w:rsidRPr="00CA1535" w:rsidRDefault="00DD6D54" w:rsidP="00BC1B3F">
      <w:pPr>
        <w:numPr>
          <w:ilvl w:val="2"/>
          <w:numId w:val="44"/>
        </w:numPr>
        <w:spacing w:before="200" w:after="200" w:line="276" w:lineRule="auto"/>
        <w:jc w:val="both"/>
        <w:rPr>
          <w:sz w:val="22"/>
          <w:szCs w:val="22"/>
        </w:rPr>
      </w:pPr>
      <w:r w:rsidRPr="00CA1535">
        <w:rPr>
          <w:sz w:val="22"/>
          <w:szCs w:val="22"/>
        </w:rPr>
        <w:t>If 50 percent or more of the voting power in the Contractor or subcontractor is vested in or exercisable on behalf of a citizen or national of the foreign country;</w:t>
      </w:r>
    </w:p>
    <w:p w14:paraId="0D0F3E5D" w14:textId="77777777" w:rsidR="00DD6D54" w:rsidRPr="00CA1535" w:rsidRDefault="00DD6D54" w:rsidP="00BC1B3F">
      <w:pPr>
        <w:numPr>
          <w:ilvl w:val="2"/>
          <w:numId w:val="44"/>
        </w:numPr>
        <w:spacing w:before="200" w:after="200" w:line="276" w:lineRule="auto"/>
        <w:jc w:val="both"/>
        <w:rPr>
          <w:sz w:val="22"/>
          <w:szCs w:val="22"/>
        </w:rPr>
      </w:pPr>
      <w:r w:rsidRPr="00CA1535">
        <w:rPr>
          <w:sz w:val="22"/>
          <w:szCs w:val="22"/>
        </w:rPr>
        <w:t>In the case of a partnership, if any general partner is a citizen of the foreign country;</w:t>
      </w:r>
    </w:p>
    <w:p w14:paraId="1CD82DC2" w14:textId="77777777" w:rsidR="00DD6D54" w:rsidRPr="00CA1535" w:rsidRDefault="00DD6D54" w:rsidP="00BC1B3F">
      <w:pPr>
        <w:numPr>
          <w:ilvl w:val="2"/>
          <w:numId w:val="44"/>
        </w:numPr>
        <w:spacing w:before="200" w:after="200" w:line="276" w:lineRule="auto"/>
        <w:jc w:val="both"/>
        <w:rPr>
          <w:sz w:val="22"/>
          <w:szCs w:val="22"/>
        </w:rPr>
      </w:pPr>
      <w:r w:rsidRPr="00CA1535">
        <w:rPr>
          <w:sz w:val="22"/>
          <w:szCs w:val="22"/>
        </w:rPr>
        <w:t>In the case of a corporation. If its presidents or other chief executive officer or the chairman of its board of directors is a citizen of the foreign country or the majority of any number of its directors necessary to constitute a quorum are citizens of the foreign country or the corporation is organized under the laws of the foreign country or any subdivision, territory, or possession thereof; or</w:t>
      </w:r>
    </w:p>
    <w:p w14:paraId="2C603941" w14:textId="77777777" w:rsidR="00DD6D54" w:rsidRPr="00CA1535" w:rsidRDefault="00DD6D54" w:rsidP="00BC1B3F">
      <w:pPr>
        <w:numPr>
          <w:ilvl w:val="2"/>
          <w:numId w:val="44"/>
        </w:numPr>
        <w:spacing w:before="200" w:after="200" w:line="276" w:lineRule="auto"/>
        <w:jc w:val="both"/>
        <w:rPr>
          <w:sz w:val="22"/>
          <w:szCs w:val="22"/>
        </w:rPr>
      </w:pPr>
      <w:r w:rsidRPr="00CA1535">
        <w:rPr>
          <w:sz w:val="22"/>
          <w:szCs w:val="22"/>
        </w:rPr>
        <w:lastRenderedPageBreak/>
        <w:t>In case of a contractor or subcontractor who is a joint venture, if any participant firm is a citizen or national of a foreign country or meets any of the criteria in subparagraphs (A) 1 through 5 of this clause.  “Product”, as used in this clause, means construction materials, i.e. articles, materials and supplies brought to the construction site for incorporation into the public works project, including permanently affixed equipment, instruments, utilities, electronic or other devices, but not including vehicles or construction equipment.  In determining the origin of a product, Harris County will consider a product as produce in a foreign country id it has been assembled or manufactured in the foreign country, or if the cost of the components mined, produced, or manufactured in the foreign country exceed 50 percent of the cost of all its components.</w:t>
      </w:r>
    </w:p>
    <w:p w14:paraId="02813AEC" w14:textId="77777777" w:rsidR="00DD6D54" w:rsidRPr="00CA1535" w:rsidRDefault="00DD6D54" w:rsidP="00BC1B3F">
      <w:pPr>
        <w:numPr>
          <w:ilvl w:val="0"/>
          <w:numId w:val="47"/>
        </w:numPr>
        <w:spacing w:before="200" w:after="200" w:line="276" w:lineRule="auto"/>
        <w:jc w:val="both"/>
        <w:rPr>
          <w:sz w:val="22"/>
          <w:szCs w:val="22"/>
        </w:rPr>
      </w:pPr>
      <w:r w:rsidRPr="00CA1535">
        <w:rPr>
          <w:sz w:val="22"/>
          <w:szCs w:val="22"/>
        </w:rPr>
        <w:t>Restrictions.  The Contractor shall not (1) knowingly enter into any subcontract under this contract with a subcontractor of a foreign country included on the list of countries that discriminate against U.S. firms published by the United States Trade Representative (see paragraph (C) of this clause, or (2) supply any product under this contract of a country included on the list of foreign countries that discriminate against U.S. firms published by the USTR.</w:t>
      </w:r>
    </w:p>
    <w:p w14:paraId="32BE2E13" w14:textId="77777777" w:rsidR="00DD6D54" w:rsidRPr="00CA1535" w:rsidRDefault="00DD6D54" w:rsidP="00BC1B3F">
      <w:pPr>
        <w:numPr>
          <w:ilvl w:val="0"/>
          <w:numId w:val="47"/>
        </w:numPr>
        <w:spacing w:before="200" w:after="200" w:line="276" w:lineRule="auto"/>
        <w:jc w:val="both"/>
        <w:rPr>
          <w:sz w:val="22"/>
          <w:szCs w:val="22"/>
        </w:rPr>
      </w:pPr>
      <w:r w:rsidRPr="00CA1535">
        <w:rPr>
          <w:sz w:val="22"/>
          <w:szCs w:val="22"/>
        </w:rPr>
        <w:t>USTR List.  The USTR published an initial list in the Federal Register on December 30, 1987 (53 FR 49244), which identified one country-Japan.  The USTR can add other countries to the list, or remove countries from it, in accordance with section 109 (C) of PUB. L. 100-102.</w:t>
      </w:r>
    </w:p>
    <w:p w14:paraId="44FA6D8A" w14:textId="77777777" w:rsidR="00DD6D54" w:rsidRPr="00CA1535" w:rsidRDefault="00DD6D54" w:rsidP="00BC1B3F">
      <w:pPr>
        <w:numPr>
          <w:ilvl w:val="0"/>
          <w:numId w:val="47"/>
        </w:numPr>
        <w:spacing w:before="200" w:after="200" w:line="276" w:lineRule="auto"/>
        <w:jc w:val="both"/>
        <w:rPr>
          <w:sz w:val="22"/>
          <w:szCs w:val="22"/>
        </w:rPr>
      </w:pPr>
      <w:r w:rsidRPr="00CA1535">
        <w:rPr>
          <w:sz w:val="22"/>
          <w:szCs w:val="22"/>
        </w:rPr>
        <w:t>Certification.  The Contractor may rely upon the certification of a prospective subcontractor that it is not a subcontractor of a foreign country included on the list of countries that discriminate against U.S. firms published by the USTR and that products supplied by such subcontractor for use on the Federal public works project under this contract are not products of a foreign country included on the list of foreign countries that discriminate against U.S. firms published by the USTR, unless such Contractor has knowledge that the certification is erroneous.</w:t>
      </w:r>
    </w:p>
    <w:p w14:paraId="5649216C" w14:textId="77777777" w:rsidR="00DD6D54" w:rsidRPr="00CA1535" w:rsidRDefault="00DD6D54" w:rsidP="00BC1B3F">
      <w:pPr>
        <w:numPr>
          <w:ilvl w:val="0"/>
          <w:numId w:val="47"/>
        </w:numPr>
        <w:spacing w:before="200" w:after="200" w:line="276" w:lineRule="auto"/>
        <w:jc w:val="both"/>
        <w:rPr>
          <w:sz w:val="22"/>
          <w:szCs w:val="22"/>
        </w:rPr>
      </w:pPr>
      <w:r w:rsidRPr="00CA1535">
        <w:rPr>
          <w:sz w:val="22"/>
          <w:szCs w:val="22"/>
        </w:rPr>
        <w:t>Subcontractors.  The Contractor shall incorporate this clause, modified only for the purpose of properly identifying the parties, in all subcontracts.  This paragraph (E) shall also be incorporated in all subcontracts.</w:t>
      </w:r>
    </w:p>
    <w:p w14:paraId="4E94015A" w14:textId="77777777" w:rsidR="00DD6D54" w:rsidRPr="00CA1535" w:rsidRDefault="00DD6D54" w:rsidP="00DD6D54">
      <w:pPr>
        <w:spacing w:before="200" w:after="200" w:line="276" w:lineRule="auto"/>
        <w:ind w:left="360"/>
        <w:jc w:val="both"/>
        <w:rPr>
          <w:rFonts w:ascii="Times New Roman" w:eastAsia="Arial" w:hAnsi="Times New Roman"/>
          <w:b/>
          <w:bCs/>
          <w:sz w:val="22"/>
          <w:szCs w:val="22"/>
        </w:rPr>
      </w:pPr>
      <w:r w:rsidRPr="00CA1535">
        <w:rPr>
          <w:rFonts w:ascii="Times New Roman" w:eastAsia="Arial" w:hAnsi="Times New Roman"/>
          <w:b/>
          <w:bCs/>
          <w:position w:val="-1"/>
          <w:sz w:val="22"/>
          <w:szCs w:val="22"/>
        </w:rPr>
        <w:t>RIGHTS TO INVENTIONS (</w:t>
      </w:r>
      <w:r w:rsidRPr="00CA1535">
        <w:rPr>
          <w:rFonts w:ascii="Times New Roman" w:hAnsi="Times New Roman"/>
          <w:b/>
          <w:bCs/>
          <w:sz w:val="22"/>
          <w:szCs w:val="22"/>
        </w:rPr>
        <w:t>2 CFR Appendix II to Part 200 (F))</w:t>
      </w:r>
    </w:p>
    <w:p w14:paraId="1F04C0B9" w14:textId="77777777"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 xml:space="preserve">Any discovery or invention that arises during the course of the contract shall be reported to Harris County. This clause requires the Contractor to disclose promptly inventions to the County (within 2 months) after the inventor discloses it in writing to Contractor personnel responsible for patent matters. The awarding agency shall determine how rights in the invention/discovery shall be allocated consistent with "Government Patent Policy" and Title 37 C.F.R. § 401. </w:t>
      </w:r>
    </w:p>
    <w:p w14:paraId="146249AF" w14:textId="77777777"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 xml:space="preserve">If the Federal award meets the definition of “funding agreement” under 37 C.F.R. §.401.2(a) and the recipient or subrecipient wishes to enter into a contract with a small business firm or nonprofit organization regarding the substitution of parties, assignment or performance of experimental, developmental, or research work under that “funding agreement,” the recipient or subrecipient must comply with the requirements of Title 37 C.F.R. § 401, “Rights to Inventions Made by Nonprofit Organizations and Small Business Firms Under Government </w:t>
      </w:r>
      <w:r w:rsidRPr="00CA1535">
        <w:rPr>
          <w:rFonts w:ascii="Times New Roman" w:hAnsi="Times New Roman"/>
          <w:sz w:val="22"/>
          <w:szCs w:val="22"/>
        </w:rPr>
        <w:lastRenderedPageBreak/>
        <w:t xml:space="preserve">Grants, Contracts and Cooperative Agreements,” and any implementing regulations issued by the awarding agency. </w:t>
      </w:r>
      <w:bookmarkEnd w:id="4"/>
    </w:p>
    <w:p w14:paraId="19B17533" w14:textId="77777777" w:rsidR="00DD6D54" w:rsidRPr="00CA1535" w:rsidRDefault="00DD6D54" w:rsidP="00DD6D54">
      <w:pPr>
        <w:spacing w:before="200" w:after="200" w:line="276" w:lineRule="auto"/>
        <w:ind w:left="360"/>
        <w:jc w:val="both"/>
        <w:rPr>
          <w:rFonts w:ascii="Times New Roman Bold" w:eastAsia="Arial" w:hAnsi="Times New Roman Bold"/>
          <w:b/>
          <w:bCs/>
          <w:caps/>
          <w:position w:val="-1"/>
          <w:sz w:val="22"/>
          <w:szCs w:val="22"/>
        </w:rPr>
      </w:pPr>
      <w:bookmarkStart w:id="5" w:name="_Hlk532398612"/>
      <w:r w:rsidRPr="00CA1535">
        <w:rPr>
          <w:rFonts w:ascii="Times New Roman Bold" w:eastAsia="Arial" w:hAnsi="Times New Roman Bold"/>
          <w:b/>
          <w:bCs/>
          <w:caps/>
          <w:position w:val="-1"/>
          <w:sz w:val="22"/>
          <w:szCs w:val="22"/>
        </w:rPr>
        <w:t>Section 109 of the Housing and Community Development Act of 1974 (24 CFR 570.602)</w:t>
      </w:r>
    </w:p>
    <w:bookmarkEnd w:id="5"/>
    <w:p w14:paraId="690A7746" w14:textId="071F68EA" w:rsidR="00C750CB" w:rsidRPr="00CA1535" w:rsidRDefault="00DD6D54" w:rsidP="00C750CB">
      <w:pPr>
        <w:spacing w:before="200" w:after="200" w:line="276" w:lineRule="auto"/>
        <w:ind w:left="360"/>
        <w:jc w:val="both"/>
        <w:rPr>
          <w:rFonts w:ascii="Times New Roman" w:eastAsia="Arial" w:hAnsi="Times New Roman"/>
          <w:bCs/>
          <w:position w:val="-1"/>
          <w:sz w:val="22"/>
          <w:szCs w:val="22"/>
        </w:rPr>
      </w:pPr>
      <w:r w:rsidRPr="00CA1535">
        <w:rPr>
          <w:rFonts w:ascii="Times New Roman" w:eastAsia="Arial" w:hAnsi="Times New Roman"/>
          <w:bCs/>
          <w:position w:val="-1"/>
          <w:sz w:val="22"/>
          <w:szCs w:val="22"/>
        </w:rPr>
        <w:t>Section 109 of the Act requires that no person in the United States shall on the grounds of race, color, national origin, religion, or sex be excluded from participation in, be denied the benefits of, or be subjected to discrimination under any program or activity receiving Federal financial assistance made available pursuant to the Act. Section 109 also directs that the prohibitions against discrimination on the basis of age under the Age Discrimination Act and the prohibitions against discrimination on the basis of disability under Section 504 shall apply to programs or activities receiving Federal financial assistance under Title I programs. The policies and procedures necessary to ensure enforcement of section 109 are codified in 24 CFR part 6.</w:t>
      </w:r>
    </w:p>
    <w:p w14:paraId="739B117C" w14:textId="25295ABE" w:rsidR="00DD6D54" w:rsidRPr="00CA1535" w:rsidRDefault="00DD6D54" w:rsidP="00DD6D54">
      <w:pPr>
        <w:spacing w:before="200" w:after="200" w:line="276" w:lineRule="auto"/>
        <w:ind w:left="360"/>
        <w:jc w:val="both"/>
        <w:rPr>
          <w:rFonts w:ascii="Times New Roman" w:eastAsia="Arial" w:hAnsi="Times New Roman"/>
          <w:b/>
          <w:bCs/>
          <w:sz w:val="22"/>
          <w:szCs w:val="22"/>
        </w:rPr>
      </w:pPr>
      <w:bookmarkStart w:id="6" w:name="_Hlk181093625"/>
      <w:r w:rsidRPr="00CA1535">
        <w:rPr>
          <w:rFonts w:ascii="Times New Roman" w:eastAsia="Arial" w:hAnsi="Times New Roman"/>
          <w:b/>
          <w:bCs/>
          <w:position w:val="-1"/>
          <w:sz w:val="22"/>
          <w:szCs w:val="22"/>
        </w:rPr>
        <w:t xml:space="preserve">SECTION 3 ACT OF 1968 (12 U.S.C. 1701u and 24 CFR Part </w:t>
      </w:r>
      <w:r w:rsidR="00E41D1F" w:rsidRPr="00CA1535">
        <w:rPr>
          <w:rFonts w:ascii="Times New Roman" w:eastAsia="Arial" w:hAnsi="Times New Roman"/>
          <w:b/>
          <w:bCs/>
          <w:position w:val="-1"/>
          <w:sz w:val="22"/>
          <w:szCs w:val="22"/>
        </w:rPr>
        <w:t>75</w:t>
      </w:r>
      <w:r w:rsidRPr="00CA1535">
        <w:rPr>
          <w:rFonts w:ascii="Times New Roman" w:eastAsia="Arial" w:hAnsi="Times New Roman"/>
          <w:b/>
          <w:bCs/>
          <w:position w:val="-1"/>
          <w:sz w:val="22"/>
          <w:szCs w:val="22"/>
        </w:rPr>
        <w:t xml:space="preserve">)  </w:t>
      </w:r>
      <w:r w:rsidRPr="00CA1535">
        <w:rPr>
          <w:rFonts w:ascii="Times New Roman" w:eastAsia="Arial" w:hAnsi="Times New Roman"/>
          <w:b/>
          <w:bCs/>
          <w:color w:val="FF0000"/>
          <w:position w:val="-1"/>
          <w:sz w:val="22"/>
          <w:szCs w:val="22"/>
        </w:rPr>
        <w:t>DISCLAIMER: THIS CONTRACT  IS HUD-FUNDED AND THEREFORE SECTION 3 DOES APPLY TO THIS CONTRACT.</w:t>
      </w:r>
    </w:p>
    <w:p w14:paraId="1EFAC65F" w14:textId="7A601A27" w:rsidR="00DD6D54" w:rsidRPr="00CA1535" w:rsidRDefault="00DD6D54" w:rsidP="00DD6D54">
      <w:pPr>
        <w:spacing w:before="200" w:after="200" w:line="276" w:lineRule="auto"/>
        <w:ind w:left="360"/>
        <w:jc w:val="both"/>
        <w:rPr>
          <w:rFonts w:ascii="Times New Roman" w:hAnsi="Times New Roman"/>
          <w:sz w:val="22"/>
          <w:szCs w:val="22"/>
        </w:rPr>
      </w:pPr>
      <w:bookmarkStart w:id="7" w:name="_Hlk529535581"/>
      <w:r w:rsidRPr="00CA1535">
        <w:rPr>
          <w:rFonts w:ascii="Times New Roman" w:hAnsi="Times New Roman"/>
          <w:sz w:val="22"/>
          <w:szCs w:val="22"/>
        </w:rPr>
        <w:t>For any HUD-funded contract with a value in excess of $</w:t>
      </w:r>
      <w:r w:rsidR="00E41D1F" w:rsidRPr="00CA1535">
        <w:rPr>
          <w:rFonts w:ascii="Times New Roman" w:hAnsi="Times New Roman"/>
          <w:sz w:val="22"/>
          <w:szCs w:val="22"/>
        </w:rPr>
        <w:t>2</w:t>
      </w:r>
      <w:r w:rsidRPr="00CA1535">
        <w:rPr>
          <w:rFonts w:ascii="Times New Roman" w:hAnsi="Times New Roman"/>
          <w:sz w:val="22"/>
          <w:szCs w:val="22"/>
        </w:rPr>
        <w:t>00,000, Contractor</w:t>
      </w:r>
      <w:r w:rsidR="004A41D3" w:rsidRPr="00CA1535">
        <w:rPr>
          <w:rFonts w:ascii="Times New Roman" w:hAnsi="Times New Roman"/>
          <w:sz w:val="22"/>
          <w:szCs w:val="22"/>
        </w:rPr>
        <w:t xml:space="preserve"> and subcontractors</w:t>
      </w:r>
      <w:r w:rsidRPr="00CA1535">
        <w:rPr>
          <w:rFonts w:ascii="Times New Roman" w:hAnsi="Times New Roman"/>
          <w:sz w:val="22"/>
          <w:szCs w:val="22"/>
        </w:rPr>
        <w:t xml:space="preserve"> must comply with the Section 3 Act of 1968. The purpose of Section 3 is to ensure that employment and other economic opportunities generated by certain HUD financial assistance shall, to the greatest extent feasible, and consistent with existing Federal, State and local laws and regulations, be directed to low- and very low</w:t>
      </w:r>
      <w:r w:rsidR="00C750CB" w:rsidRPr="00CA1535">
        <w:rPr>
          <w:rFonts w:ascii="Times New Roman" w:hAnsi="Times New Roman"/>
          <w:sz w:val="22"/>
          <w:szCs w:val="22"/>
        </w:rPr>
        <w:t>-</w:t>
      </w:r>
      <w:r w:rsidRPr="00CA1535">
        <w:rPr>
          <w:rFonts w:ascii="Times New Roman" w:hAnsi="Times New Roman"/>
          <w:sz w:val="22"/>
          <w:szCs w:val="22"/>
        </w:rPr>
        <w:t>income persons, particularly those who are recipients of government assistance for housing, and to business concerns which provide economic opportunities to low- and very low-income persons. Section 3 is triggered when the normal completion of construction and rehabilitation projects creates the need for new employment, contracting, or training opportunities.</w:t>
      </w:r>
    </w:p>
    <w:p w14:paraId="1598FBF6" w14:textId="31A18ADC" w:rsidR="00DD6D54" w:rsidRPr="00CA1535" w:rsidRDefault="00DD6D54" w:rsidP="00DD6D54">
      <w:pPr>
        <w:spacing w:before="200" w:after="200" w:line="276" w:lineRule="auto"/>
        <w:ind w:left="360"/>
        <w:jc w:val="both"/>
        <w:rPr>
          <w:rFonts w:ascii="Times New Roman" w:eastAsia="Arial" w:hAnsi="Times New Roman"/>
          <w:b/>
          <w:bCs/>
          <w:sz w:val="22"/>
          <w:szCs w:val="22"/>
        </w:rPr>
      </w:pPr>
      <w:r w:rsidRPr="00CA1535">
        <w:rPr>
          <w:rFonts w:ascii="Times New Roman" w:hAnsi="Times New Roman"/>
          <w:sz w:val="22"/>
          <w:szCs w:val="22"/>
        </w:rPr>
        <w:t xml:space="preserve">For any Section 3 Covered Contracts, Contractor </w:t>
      </w:r>
      <w:r w:rsidR="003642DE" w:rsidRPr="00CA1535">
        <w:rPr>
          <w:rFonts w:ascii="Times New Roman" w:hAnsi="Times New Roman"/>
          <w:sz w:val="22"/>
          <w:szCs w:val="22"/>
        </w:rPr>
        <w:t xml:space="preserve">and subcontractors </w:t>
      </w:r>
      <w:r w:rsidRPr="00CA1535">
        <w:rPr>
          <w:rFonts w:ascii="Times New Roman" w:hAnsi="Times New Roman"/>
          <w:sz w:val="22"/>
          <w:szCs w:val="22"/>
        </w:rPr>
        <w:t xml:space="preserve">must comply with all provisions of the Section 3 Act of 1968, contained under 24 CFR </w:t>
      </w:r>
      <w:r w:rsidR="00E41D1F" w:rsidRPr="00CA1535">
        <w:rPr>
          <w:rFonts w:ascii="Times New Roman" w:hAnsi="Times New Roman"/>
          <w:sz w:val="22"/>
          <w:szCs w:val="22"/>
        </w:rPr>
        <w:t>75</w:t>
      </w:r>
      <w:r w:rsidRPr="00CA1535">
        <w:rPr>
          <w:rFonts w:ascii="Times New Roman" w:hAnsi="Times New Roman"/>
          <w:sz w:val="22"/>
          <w:szCs w:val="22"/>
        </w:rPr>
        <w:t xml:space="preserve">. </w:t>
      </w:r>
      <w:bookmarkStart w:id="8" w:name="_Hlk529535623"/>
      <w:r w:rsidRPr="00CA1535">
        <w:rPr>
          <w:rFonts w:ascii="Times New Roman" w:hAnsi="Times New Roman"/>
          <w:sz w:val="22"/>
          <w:szCs w:val="22"/>
        </w:rPr>
        <w:t>Contractor</w:t>
      </w:r>
      <w:r w:rsidR="003642DE" w:rsidRPr="00CA1535">
        <w:rPr>
          <w:rFonts w:ascii="Times New Roman" w:hAnsi="Times New Roman"/>
          <w:sz w:val="22"/>
          <w:szCs w:val="22"/>
        </w:rPr>
        <w:t xml:space="preserve"> and subcontractors</w:t>
      </w:r>
      <w:r w:rsidRPr="00CA1535">
        <w:rPr>
          <w:rFonts w:ascii="Times New Roman" w:hAnsi="Times New Roman"/>
          <w:sz w:val="22"/>
          <w:szCs w:val="22"/>
        </w:rPr>
        <w:t xml:space="preserve"> must include the</w:t>
      </w:r>
      <w:r w:rsidR="00DC64D8" w:rsidRPr="00CA1535">
        <w:rPr>
          <w:rFonts w:ascii="Times New Roman" w:hAnsi="Times New Roman"/>
          <w:sz w:val="22"/>
          <w:szCs w:val="22"/>
        </w:rPr>
        <w:t xml:space="preserve"> Section 3 Clause </w:t>
      </w:r>
      <w:r w:rsidRPr="00CA1535">
        <w:rPr>
          <w:rFonts w:ascii="Times New Roman" w:hAnsi="Times New Roman"/>
          <w:sz w:val="22"/>
          <w:szCs w:val="22"/>
        </w:rPr>
        <w:t xml:space="preserve">in its entirety, in every subcontract subject to compliance with regulations in 24 CFR </w:t>
      </w:r>
      <w:r w:rsidR="00E41D1F" w:rsidRPr="00CA1535">
        <w:rPr>
          <w:rFonts w:ascii="Times New Roman" w:hAnsi="Times New Roman"/>
          <w:sz w:val="22"/>
          <w:szCs w:val="22"/>
        </w:rPr>
        <w:t>75</w:t>
      </w:r>
      <w:r w:rsidRPr="00CA1535">
        <w:rPr>
          <w:rFonts w:ascii="Times New Roman" w:hAnsi="Times New Roman"/>
          <w:sz w:val="22"/>
          <w:szCs w:val="22"/>
        </w:rPr>
        <w:t>.</w:t>
      </w:r>
      <w:bookmarkEnd w:id="8"/>
    </w:p>
    <w:p w14:paraId="2906D0DA" w14:textId="30FACAFB" w:rsidR="00DD6D54" w:rsidRPr="00CA1535" w:rsidRDefault="00DD6D54" w:rsidP="00DD6D54">
      <w:pPr>
        <w:widowControl w:val="0"/>
        <w:tabs>
          <w:tab w:val="left" w:pos="481"/>
        </w:tabs>
        <w:spacing w:before="120" w:after="120" w:line="276" w:lineRule="auto"/>
        <w:ind w:left="360" w:right="156"/>
        <w:jc w:val="both"/>
        <w:rPr>
          <w:rFonts w:ascii="Times New Roman" w:eastAsia="Arial" w:hAnsi="Times New Roman"/>
          <w:sz w:val="22"/>
          <w:szCs w:val="22"/>
        </w:rPr>
      </w:pPr>
      <w:r w:rsidRPr="00CA1535">
        <w:rPr>
          <w:rFonts w:ascii="Times New Roman" w:hAnsi="Times New Roman"/>
          <w:sz w:val="22"/>
          <w:szCs w:val="22"/>
        </w:rPr>
        <w:t xml:space="preserve">Contractor </w:t>
      </w:r>
      <w:r w:rsidR="003642DE" w:rsidRPr="00CA1535">
        <w:rPr>
          <w:rFonts w:ascii="Times New Roman" w:hAnsi="Times New Roman"/>
          <w:sz w:val="22"/>
          <w:szCs w:val="22"/>
        </w:rPr>
        <w:t xml:space="preserve">and subcontractors </w:t>
      </w:r>
      <w:r w:rsidRPr="00CA1535">
        <w:rPr>
          <w:rFonts w:ascii="Times New Roman" w:hAnsi="Times New Roman"/>
          <w:sz w:val="22"/>
          <w:szCs w:val="22"/>
        </w:rPr>
        <w:t>must assure that to the greatest extent feasible, contracts for work to be performed in connection with the project are awarded to Section 3 Business Concerns. Contractor</w:t>
      </w:r>
      <w:r w:rsidR="004A41D3" w:rsidRPr="00CA1535">
        <w:rPr>
          <w:rFonts w:ascii="Times New Roman" w:hAnsi="Times New Roman"/>
          <w:sz w:val="22"/>
          <w:szCs w:val="22"/>
        </w:rPr>
        <w:t xml:space="preserve"> and subcontractors</w:t>
      </w:r>
      <w:r w:rsidRPr="00CA1535">
        <w:rPr>
          <w:rFonts w:ascii="Times New Roman" w:hAnsi="Times New Roman"/>
          <w:sz w:val="22"/>
          <w:szCs w:val="22"/>
        </w:rPr>
        <w:t xml:space="preserve"> must post all new hire opportunities with the local Workforce Solutions Center and/or Work-in-Texas, in accordance with 24 CFR </w:t>
      </w:r>
      <w:r w:rsidR="00E41D1F" w:rsidRPr="00CA1535">
        <w:rPr>
          <w:rFonts w:ascii="Times New Roman" w:hAnsi="Times New Roman"/>
          <w:sz w:val="22"/>
          <w:szCs w:val="22"/>
        </w:rPr>
        <w:t>75</w:t>
      </w:r>
      <w:r w:rsidRPr="00CA1535">
        <w:rPr>
          <w:rFonts w:ascii="Times New Roman" w:hAnsi="Times New Roman"/>
          <w:sz w:val="22"/>
          <w:szCs w:val="22"/>
        </w:rPr>
        <w:t xml:space="preserve">. </w:t>
      </w:r>
      <w:r w:rsidRPr="00CA1535">
        <w:rPr>
          <w:rFonts w:ascii="Times New Roman" w:eastAsia="Arial" w:hAnsi="Times New Roman"/>
          <w:position w:val="-1"/>
          <w:sz w:val="22"/>
          <w:szCs w:val="22"/>
        </w:rPr>
        <w:t>The minimum numeric goals for Section 3 utilization are:</w:t>
      </w:r>
    </w:p>
    <w:bookmarkEnd w:id="7"/>
    <w:p w14:paraId="210D2ACA" w14:textId="53D836BD" w:rsidR="00C750CB" w:rsidRPr="00CA1535" w:rsidRDefault="00C750CB" w:rsidP="00C750CB">
      <w:pPr>
        <w:autoSpaceDE w:val="0"/>
        <w:autoSpaceDN w:val="0"/>
        <w:adjustRightInd w:val="0"/>
        <w:ind w:firstLine="360"/>
        <w:rPr>
          <w:rFonts w:ascii="Times New Roman" w:hAnsi="Times New Roman"/>
          <w:color w:val="000000"/>
          <w:sz w:val="22"/>
          <w:szCs w:val="22"/>
        </w:rPr>
      </w:pPr>
      <w:r w:rsidRPr="00CA1535">
        <w:rPr>
          <w:rFonts w:ascii="Times New Roman" w:hAnsi="Times New Roman"/>
          <w:b/>
          <w:bCs/>
          <w:color w:val="000000"/>
          <w:sz w:val="22"/>
          <w:szCs w:val="22"/>
        </w:rPr>
        <w:t xml:space="preserve">Benchmarks for Section 3 Workers </w:t>
      </w:r>
    </w:p>
    <w:p w14:paraId="33F856C7" w14:textId="77777777" w:rsidR="00C750CB" w:rsidRPr="00CA1535" w:rsidRDefault="00C750CB" w:rsidP="00C10B98">
      <w:pPr>
        <w:autoSpaceDE w:val="0"/>
        <w:autoSpaceDN w:val="0"/>
        <w:adjustRightInd w:val="0"/>
        <w:ind w:firstLine="360"/>
        <w:rPr>
          <w:rFonts w:ascii="Times New Roman" w:hAnsi="Times New Roman"/>
          <w:color w:val="000000"/>
          <w:sz w:val="22"/>
          <w:szCs w:val="22"/>
        </w:rPr>
      </w:pPr>
      <w:r w:rsidRPr="00CA1535">
        <w:rPr>
          <w:rFonts w:ascii="Times New Roman" w:hAnsi="Times New Roman"/>
          <w:color w:val="000000"/>
          <w:sz w:val="22"/>
          <w:szCs w:val="22"/>
        </w:rPr>
        <w:t xml:space="preserve">25% of total labor hours for the project worked by: </w:t>
      </w:r>
    </w:p>
    <w:p w14:paraId="112F4128" w14:textId="72E41B4D" w:rsidR="00C750CB" w:rsidRPr="00CA1535" w:rsidRDefault="00C750CB" w:rsidP="00C10B98">
      <w:pPr>
        <w:autoSpaceDE w:val="0"/>
        <w:autoSpaceDN w:val="0"/>
        <w:adjustRightInd w:val="0"/>
        <w:ind w:firstLine="360"/>
        <w:rPr>
          <w:rFonts w:ascii="Times New Roman" w:hAnsi="Times New Roman"/>
          <w:color w:val="000000"/>
          <w:sz w:val="22"/>
          <w:szCs w:val="22"/>
        </w:rPr>
      </w:pPr>
      <w:r w:rsidRPr="00CA1535">
        <w:rPr>
          <w:rFonts w:ascii="Courier New" w:hAnsi="Courier New" w:cs="Courier New"/>
          <w:color w:val="000000"/>
          <w:sz w:val="22"/>
          <w:szCs w:val="22"/>
        </w:rPr>
        <w:t xml:space="preserve">o </w:t>
      </w:r>
      <w:r w:rsidRPr="00CA1535">
        <w:rPr>
          <w:rFonts w:ascii="Times New Roman" w:hAnsi="Times New Roman"/>
          <w:color w:val="000000"/>
          <w:sz w:val="22"/>
          <w:szCs w:val="22"/>
        </w:rPr>
        <w:t xml:space="preserve">Employee of a Section 3 Business </w:t>
      </w:r>
    </w:p>
    <w:p w14:paraId="5CE350BB" w14:textId="77777777" w:rsidR="00C750CB" w:rsidRPr="00CA1535" w:rsidRDefault="00C750CB" w:rsidP="00C10B98">
      <w:pPr>
        <w:autoSpaceDE w:val="0"/>
        <w:autoSpaceDN w:val="0"/>
        <w:adjustRightInd w:val="0"/>
        <w:ind w:firstLine="360"/>
        <w:rPr>
          <w:rFonts w:ascii="Times New Roman" w:hAnsi="Times New Roman"/>
          <w:color w:val="000000"/>
          <w:sz w:val="22"/>
          <w:szCs w:val="22"/>
        </w:rPr>
      </w:pPr>
      <w:r w:rsidRPr="00CA1535">
        <w:rPr>
          <w:rFonts w:ascii="Courier New" w:hAnsi="Courier New" w:cs="Courier New"/>
          <w:color w:val="000000"/>
          <w:sz w:val="22"/>
          <w:szCs w:val="22"/>
        </w:rPr>
        <w:t xml:space="preserve">o </w:t>
      </w:r>
      <w:r w:rsidRPr="00CA1535">
        <w:rPr>
          <w:rFonts w:ascii="Times New Roman" w:hAnsi="Times New Roman"/>
          <w:color w:val="000000"/>
          <w:sz w:val="22"/>
          <w:szCs w:val="22"/>
        </w:rPr>
        <w:t xml:space="preserve">YouthBuild Participant or </w:t>
      </w:r>
    </w:p>
    <w:p w14:paraId="179CEE6D" w14:textId="23630443" w:rsidR="00C750CB" w:rsidRPr="00CA1535" w:rsidRDefault="00C750CB" w:rsidP="00C10B98">
      <w:pPr>
        <w:autoSpaceDE w:val="0"/>
        <w:autoSpaceDN w:val="0"/>
        <w:adjustRightInd w:val="0"/>
        <w:ind w:firstLine="360"/>
        <w:rPr>
          <w:rFonts w:ascii="Times New Roman" w:hAnsi="Times New Roman"/>
          <w:color w:val="000000"/>
          <w:sz w:val="22"/>
          <w:szCs w:val="22"/>
        </w:rPr>
      </w:pPr>
      <w:r w:rsidRPr="00CA1535">
        <w:rPr>
          <w:rFonts w:ascii="Courier New" w:hAnsi="Courier New" w:cs="Courier New"/>
          <w:color w:val="000000"/>
          <w:sz w:val="22"/>
          <w:szCs w:val="22"/>
        </w:rPr>
        <w:t xml:space="preserve">o </w:t>
      </w:r>
      <w:r w:rsidRPr="00CA1535">
        <w:rPr>
          <w:rFonts w:ascii="Times New Roman" w:hAnsi="Times New Roman"/>
          <w:color w:val="000000"/>
          <w:sz w:val="22"/>
          <w:szCs w:val="22"/>
        </w:rPr>
        <w:t>Below 80% AMI (area median individual income)</w:t>
      </w:r>
    </w:p>
    <w:p w14:paraId="7A7392ED" w14:textId="7F9A53DC" w:rsidR="00C750CB" w:rsidRPr="00CA1535" w:rsidRDefault="00C750CB" w:rsidP="00C750CB">
      <w:pPr>
        <w:autoSpaceDE w:val="0"/>
        <w:autoSpaceDN w:val="0"/>
        <w:adjustRightInd w:val="0"/>
        <w:ind w:left="450"/>
        <w:rPr>
          <w:rFonts w:ascii="Times New Roman" w:hAnsi="Times New Roman"/>
          <w:color w:val="000000"/>
          <w:sz w:val="22"/>
          <w:szCs w:val="22"/>
        </w:rPr>
      </w:pPr>
      <w:r w:rsidRPr="00CA1535">
        <w:rPr>
          <w:rFonts w:ascii="Times New Roman" w:hAnsi="Times New Roman"/>
          <w:b/>
          <w:bCs/>
          <w:color w:val="000000"/>
          <w:sz w:val="22"/>
          <w:szCs w:val="22"/>
        </w:rPr>
        <w:br/>
        <w:t xml:space="preserve">Benchmarks for Targeted Section 3 Workers </w:t>
      </w:r>
    </w:p>
    <w:p w14:paraId="4CA8FB23" w14:textId="77777777" w:rsidR="00C750CB" w:rsidRPr="00CA1535" w:rsidRDefault="00C750CB" w:rsidP="00C750CB">
      <w:pPr>
        <w:autoSpaceDE w:val="0"/>
        <w:autoSpaceDN w:val="0"/>
        <w:adjustRightInd w:val="0"/>
        <w:ind w:firstLine="450"/>
        <w:rPr>
          <w:rFonts w:ascii="Times New Roman" w:hAnsi="Times New Roman"/>
          <w:color w:val="000000"/>
          <w:sz w:val="22"/>
          <w:szCs w:val="22"/>
        </w:rPr>
      </w:pPr>
      <w:r w:rsidRPr="00CA1535">
        <w:rPr>
          <w:rFonts w:ascii="Times New Roman" w:hAnsi="Times New Roman"/>
          <w:color w:val="000000"/>
          <w:sz w:val="22"/>
          <w:szCs w:val="22"/>
        </w:rPr>
        <w:t xml:space="preserve">5% of total labor hours for the project worked by: </w:t>
      </w:r>
    </w:p>
    <w:p w14:paraId="1464F6E5" w14:textId="101D3C8F" w:rsidR="00C750CB" w:rsidRPr="00CA1535" w:rsidRDefault="00C750CB" w:rsidP="00C750CB">
      <w:pPr>
        <w:autoSpaceDE w:val="0"/>
        <w:autoSpaceDN w:val="0"/>
        <w:adjustRightInd w:val="0"/>
        <w:ind w:firstLine="450"/>
        <w:rPr>
          <w:rFonts w:ascii="Times New Roman" w:hAnsi="Times New Roman"/>
          <w:color w:val="000000"/>
          <w:sz w:val="22"/>
          <w:szCs w:val="22"/>
        </w:rPr>
      </w:pPr>
      <w:r w:rsidRPr="00CA1535">
        <w:rPr>
          <w:rFonts w:ascii="Courier New" w:hAnsi="Courier New" w:cs="Courier New"/>
          <w:color w:val="000000"/>
          <w:sz w:val="22"/>
          <w:szCs w:val="22"/>
        </w:rPr>
        <w:t xml:space="preserve">o </w:t>
      </w:r>
      <w:r w:rsidRPr="00CA1535">
        <w:rPr>
          <w:rFonts w:ascii="Times New Roman" w:hAnsi="Times New Roman"/>
          <w:color w:val="000000"/>
          <w:sz w:val="22"/>
          <w:szCs w:val="22"/>
        </w:rPr>
        <w:t xml:space="preserve">Employee of a Section 3 Business </w:t>
      </w:r>
    </w:p>
    <w:p w14:paraId="00607494" w14:textId="77777777" w:rsidR="00C750CB" w:rsidRPr="00CA1535" w:rsidRDefault="00C750CB" w:rsidP="00C750CB">
      <w:pPr>
        <w:autoSpaceDE w:val="0"/>
        <w:autoSpaceDN w:val="0"/>
        <w:adjustRightInd w:val="0"/>
        <w:ind w:left="180" w:firstLine="270"/>
        <w:rPr>
          <w:rFonts w:ascii="Times New Roman" w:hAnsi="Times New Roman"/>
          <w:color w:val="000000"/>
          <w:sz w:val="22"/>
          <w:szCs w:val="22"/>
        </w:rPr>
      </w:pPr>
      <w:r w:rsidRPr="00CA1535">
        <w:rPr>
          <w:rFonts w:ascii="Courier New" w:hAnsi="Courier New" w:cs="Courier New"/>
          <w:color w:val="000000"/>
          <w:sz w:val="22"/>
          <w:szCs w:val="22"/>
        </w:rPr>
        <w:t xml:space="preserve">o </w:t>
      </w:r>
      <w:r w:rsidRPr="00CA1535">
        <w:rPr>
          <w:rFonts w:ascii="Times New Roman" w:hAnsi="Times New Roman"/>
          <w:color w:val="000000"/>
          <w:sz w:val="22"/>
          <w:szCs w:val="22"/>
        </w:rPr>
        <w:t xml:space="preserve">YouthBuild Participant or </w:t>
      </w:r>
    </w:p>
    <w:p w14:paraId="0F650CE3" w14:textId="0BE8069D" w:rsidR="00C750CB" w:rsidRPr="00CA1535" w:rsidRDefault="00C750CB" w:rsidP="00C750CB">
      <w:pPr>
        <w:autoSpaceDE w:val="0"/>
        <w:autoSpaceDN w:val="0"/>
        <w:adjustRightInd w:val="0"/>
        <w:ind w:firstLine="450"/>
        <w:rPr>
          <w:rFonts w:ascii="Times New Roman" w:hAnsi="Times New Roman"/>
          <w:color w:val="000000"/>
          <w:sz w:val="22"/>
          <w:szCs w:val="22"/>
        </w:rPr>
      </w:pPr>
      <w:r w:rsidRPr="00CA1535">
        <w:rPr>
          <w:rFonts w:ascii="Courier New" w:hAnsi="Courier New" w:cs="Courier New"/>
          <w:color w:val="000000"/>
          <w:sz w:val="22"/>
          <w:szCs w:val="22"/>
        </w:rPr>
        <w:t>o</w:t>
      </w:r>
      <w:r w:rsidRPr="00CA1535">
        <w:rPr>
          <w:rFonts w:ascii="Courier New" w:hAnsi="Courier New" w:cs="Courier New"/>
          <w:color w:val="000000"/>
          <w:sz w:val="22"/>
          <w:szCs w:val="22"/>
        </w:rPr>
        <w:tab/>
      </w:r>
      <w:r w:rsidRPr="00CA1535">
        <w:rPr>
          <w:rFonts w:ascii="Times New Roman" w:hAnsi="Times New Roman"/>
          <w:color w:val="000000"/>
          <w:sz w:val="22"/>
          <w:szCs w:val="22"/>
        </w:rPr>
        <w:t xml:space="preserve">Service Area Resident (§75.5) </w:t>
      </w:r>
      <w:r w:rsidRPr="00CA1535">
        <w:rPr>
          <w:rFonts w:ascii="Times New Roman" w:hAnsi="Times New Roman"/>
          <w:color w:val="000000"/>
          <w:sz w:val="22"/>
          <w:szCs w:val="22"/>
        </w:rPr>
        <w:br/>
      </w:r>
      <w:r w:rsidRPr="00CA1535">
        <w:rPr>
          <w:rFonts w:ascii="Times New Roman" w:hAnsi="Times New Roman"/>
          <w:color w:val="000000"/>
          <w:sz w:val="22"/>
          <w:szCs w:val="22"/>
        </w:rPr>
        <w:br/>
        <w:t xml:space="preserve">        The General Contractor and Subcontractors must demonstrate qualitative efforts to reach their benchmarks.</w:t>
      </w:r>
    </w:p>
    <w:bookmarkEnd w:id="6"/>
    <w:p w14:paraId="32AC2002" w14:textId="77777777" w:rsidR="00C750CB" w:rsidRPr="00CA1535" w:rsidRDefault="00C750CB" w:rsidP="00C750CB">
      <w:pPr>
        <w:autoSpaceDE w:val="0"/>
        <w:autoSpaceDN w:val="0"/>
        <w:adjustRightInd w:val="0"/>
        <w:rPr>
          <w:rFonts w:ascii="Times New Roman" w:hAnsi="Times New Roman"/>
          <w:color w:val="000000"/>
          <w:sz w:val="22"/>
          <w:szCs w:val="22"/>
        </w:rPr>
      </w:pPr>
    </w:p>
    <w:p w14:paraId="2B49EED3" w14:textId="03A2B3FC" w:rsidR="00DD6D54" w:rsidRPr="00CA1535" w:rsidRDefault="00DD6D54" w:rsidP="00C750CB">
      <w:pPr>
        <w:spacing w:before="200" w:after="200" w:line="276" w:lineRule="auto"/>
        <w:ind w:left="360"/>
        <w:jc w:val="both"/>
        <w:rPr>
          <w:rFonts w:ascii="Times New Roman" w:eastAsia="Arial" w:hAnsi="Times New Roman"/>
          <w:b/>
          <w:bCs/>
          <w:sz w:val="22"/>
          <w:szCs w:val="22"/>
        </w:rPr>
      </w:pPr>
      <w:r w:rsidRPr="00CA1535">
        <w:rPr>
          <w:rFonts w:ascii="Times New Roman" w:eastAsia="Arial" w:hAnsi="Times New Roman"/>
          <w:b/>
          <w:bCs/>
          <w:position w:val="-1"/>
          <w:sz w:val="22"/>
          <w:szCs w:val="22"/>
        </w:rPr>
        <w:t>TRANSACTIONS WITH TERRORIST ORGANIZATIONS PROHIBITED (Texas Government Code 2252.152)</w:t>
      </w:r>
    </w:p>
    <w:p w14:paraId="4E5BF097" w14:textId="3427B58A" w:rsidR="00DD6D54" w:rsidRPr="00CA1535" w:rsidRDefault="00DD6D54" w:rsidP="00DD6D54">
      <w:pPr>
        <w:spacing w:before="200" w:after="200" w:line="276" w:lineRule="auto"/>
        <w:ind w:left="360"/>
        <w:jc w:val="both"/>
        <w:rPr>
          <w:rFonts w:ascii="Times New Roman" w:hAnsi="Times New Roman"/>
          <w:sz w:val="22"/>
          <w:szCs w:val="22"/>
        </w:rPr>
      </w:pPr>
      <w:r w:rsidRPr="00CA1535">
        <w:rPr>
          <w:rFonts w:ascii="Times New Roman" w:hAnsi="Times New Roman"/>
          <w:sz w:val="22"/>
          <w:szCs w:val="22"/>
        </w:rPr>
        <w:t xml:space="preserve">Pursuant to Chapter </w:t>
      </w:r>
      <w:r w:rsidRPr="00CA1535">
        <w:rPr>
          <w:rFonts w:ascii="Times New Roman" w:hAnsi="Times New Roman"/>
          <w:color w:val="000000" w:themeColor="text1"/>
          <w:sz w:val="22"/>
          <w:szCs w:val="22"/>
        </w:rPr>
        <w:t>2252</w:t>
      </w:r>
      <w:r w:rsidRPr="00CA1535">
        <w:rPr>
          <w:rFonts w:ascii="Times New Roman" w:hAnsi="Times New Roman"/>
          <w:sz w:val="22"/>
          <w:szCs w:val="22"/>
        </w:rPr>
        <w:t xml:space="preserve">, Texas Government Code, Contractor shall certify that, at the time of execution of this Contract, neither the Contractor, nor any wholly owned subsidiary, majority-owned subsidiary, parent company or affiliate of the same (1) engages in </w:t>
      </w:r>
      <w:r w:rsidRPr="00CA1535">
        <w:rPr>
          <w:rFonts w:ascii="Times New Roman" w:hAnsi="Times New Roman"/>
          <w:color w:val="000000" w:themeColor="text1"/>
          <w:sz w:val="22"/>
          <w:szCs w:val="22"/>
        </w:rPr>
        <w:t>business</w:t>
      </w:r>
      <w:r w:rsidRPr="00CA1535">
        <w:rPr>
          <w:rFonts w:ascii="Times New Roman" w:hAnsi="Times New Roman"/>
          <w:sz w:val="22"/>
          <w:szCs w:val="22"/>
        </w:rPr>
        <w:t xml:space="preserve"> with Iran, Sudan, or any foreign terrorist organization as described in Chapters 806 or 807 of the Texas Government Code</w:t>
      </w:r>
      <w:r w:rsidRPr="00CA1535">
        <w:rPr>
          <w:rFonts w:ascii="Times New Roman" w:hAnsi="Times New Roman"/>
          <w:color w:val="000000" w:themeColor="text1"/>
          <w:sz w:val="22"/>
          <w:szCs w:val="22"/>
        </w:rPr>
        <w:t>,</w:t>
      </w:r>
      <w:r w:rsidRPr="00CA1535">
        <w:rPr>
          <w:rFonts w:ascii="Times New Roman" w:hAnsi="Times New Roman"/>
          <w:sz w:val="22"/>
          <w:szCs w:val="22"/>
        </w:rPr>
        <w:t xml:space="preserve"> </w:t>
      </w:r>
      <w:r w:rsidRPr="00CA1535">
        <w:rPr>
          <w:rFonts w:ascii="Times New Roman" w:hAnsi="Times New Roman"/>
          <w:color w:val="000000" w:themeColor="text1"/>
          <w:sz w:val="22"/>
          <w:szCs w:val="22"/>
        </w:rPr>
        <w:t>or</w:t>
      </w:r>
      <w:r w:rsidRPr="00CA1535">
        <w:rPr>
          <w:rFonts w:ascii="Times New Roman" w:hAnsi="Times New Roman"/>
          <w:sz w:val="22"/>
          <w:szCs w:val="22"/>
        </w:rPr>
        <w:t xml:space="preserve"> Subchapter F of Chapter 2252 of the Texas Government Code, or (2) is a company listed by the Texas Comptroller of Public Accounts under Sections 806.051, 807.051, or 2252.153 of the Texas Government Code.</w:t>
      </w:r>
    </w:p>
    <w:p w14:paraId="3829A5D3" w14:textId="77777777" w:rsidR="00DD6D54" w:rsidRPr="00CA1535" w:rsidRDefault="00DD6D54" w:rsidP="00DD6D54">
      <w:pPr>
        <w:spacing w:before="200" w:after="200" w:line="276" w:lineRule="auto"/>
        <w:ind w:left="360"/>
        <w:jc w:val="both"/>
        <w:rPr>
          <w:rFonts w:ascii="Times New Roman" w:hAnsi="Times New Roman"/>
          <w:b/>
          <w:bCs/>
          <w:sz w:val="22"/>
          <w:szCs w:val="22"/>
        </w:rPr>
      </w:pPr>
      <w:bookmarkStart w:id="9" w:name="_Hlk524087493"/>
      <w:r w:rsidRPr="00CA1535">
        <w:rPr>
          <w:rFonts w:ascii="Times New Roman" w:hAnsi="Times New Roman"/>
          <w:b/>
          <w:bCs/>
          <w:sz w:val="22"/>
          <w:szCs w:val="22"/>
        </w:rPr>
        <w:t>TERMINATION FOR CAUSE &amp; CONVENIENCE (2 CFR Appendix II to Part 200 (A) and (B))</w:t>
      </w:r>
    </w:p>
    <w:bookmarkEnd w:id="9"/>
    <w:p w14:paraId="30CB68BE" w14:textId="77777777" w:rsidR="00DD6D54" w:rsidRPr="00CA1535" w:rsidRDefault="00DD6D54" w:rsidP="00DD6D54">
      <w:pPr>
        <w:spacing w:before="200" w:after="200" w:line="276" w:lineRule="auto"/>
        <w:ind w:left="360"/>
        <w:jc w:val="both"/>
        <w:rPr>
          <w:rFonts w:ascii="Times New Roman" w:hAnsi="Times New Roman"/>
          <w:iCs/>
          <w:sz w:val="22"/>
          <w:szCs w:val="22"/>
        </w:rPr>
      </w:pPr>
      <w:r w:rsidRPr="00CA1535">
        <w:rPr>
          <w:rFonts w:ascii="Times New Roman" w:hAnsi="Times New Roman"/>
          <w:iCs/>
          <w:sz w:val="22"/>
          <w:szCs w:val="22"/>
        </w:rPr>
        <w:t>Pursuant to 2 CFR Appendix II to Part 200 (A), Contracts for more than the simplified acquisition threshold currently set at $150,000, which is the inflation adjusted amount determined by the Civilian Agency Acquisition Council and the Defense Acquisition Regulations Council (Councils) as authorized by 41 U.S.C. 1908, shall address administrative, contractual, or legal remedies in instances where contractors violate or breach contract terms, and provide for such sanctions and penalties as appropriate.</w:t>
      </w:r>
    </w:p>
    <w:p w14:paraId="067E19BE" w14:textId="77777777" w:rsidR="00DD6D54" w:rsidRPr="00CA1535" w:rsidRDefault="00DD6D54" w:rsidP="00DD6D54">
      <w:pPr>
        <w:spacing w:before="200" w:after="200" w:line="276" w:lineRule="auto"/>
        <w:ind w:left="360"/>
        <w:jc w:val="both"/>
        <w:rPr>
          <w:rFonts w:ascii="Times New Roman" w:hAnsi="Times New Roman"/>
          <w:iCs/>
          <w:sz w:val="22"/>
          <w:szCs w:val="22"/>
        </w:rPr>
      </w:pPr>
      <w:r w:rsidRPr="00CA1535">
        <w:rPr>
          <w:rFonts w:ascii="Times New Roman" w:hAnsi="Times New Roman"/>
          <w:iCs/>
          <w:sz w:val="22"/>
          <w:szCs w:val="22"/>
        </w:rPr>
        <w:t>Pursuant to 2 CFR Appendix II to Part 200 (B), all contracts in excess of $10,000 shall address termination for cause and for convenience by the non-Federal entity including the manner by which it will be effected and the basis for settlement. Harris County shall have the right to terminate this contract for cause and convenience.</w:t>
      </w:r>
    </w:p>
    <w:p w14:paraId="2EAE43E6" w14:textId="77777777" w:rsidR="00DD6D54" w:rsidRPr="00CA1535" w:rsidRDefault="00DD6D54" w:rsidP="00DD6D54">
      <w:pPr>
        <w:spacing w:before="200" w:after="200" w:line="276" w:lineRule="auto"/>
        <w:ind w:left="360"/>
        <w:jc w:val="both"/>
        <w:rPr>
          <w:rFonts w:ascii="Times New Roman" w:hAnsi="Times New Roman"/>
          <w:iCs/>
          <w:sz w:val="22"/>
          <w:szCs w:val="22"/>
        </w:rPr>
      </w:pPr>
      <w:r w:rsidRPr="00CA1535">
        <w:rPr>
          <w:rFonts w:ascii="Times New Roman" w:hAnsi="Times New Roman"/>
          <w:iCs/>
          <w:sz w:val="22"/>
          <w:szCs w:val="22"/>
        </w:rPr>
        <w:t>In the event of a failure by Contractor to satisfactorily perform the services specified herein and/or a default by Contractor in abiding by the other terms and conditions of this Contract, Harris County may terminate the Contract on written notice to Contractor and Contractor shall be liable for all damages, costs, and expenses (including attorney fees) incurred by County related to this default. Such termination is in addition to and not in lieu of any other remedies that Harris County may have in law or equity. Administrative remedies for non-performance, violation or breach of contract terms, or termination of contract for default may include suspension and debarment. Harris County may assess liquidated damages for failure to meet completion deadlines, contract breaches, or performance failures of the Contractor or its Subcontractors.</w:t>
      </w:r>
    </w:p>
    <w:p w14:paraId="6E6F9908" w14:textId="77777777" w:rsidR="00DD6D54" w:rsidRPr="00CA1535" w:rsidRDefault="00DD6D54" w:rsidP="00DD6D54">
      <w:pPr>
        <w:spacing w:before="200" w:after="200" w:line="276" w:lineRule="auto"/>
        <w:ind w:left="360"/>
        <w:jc w:val="both"/>
        <w:rPr>
          <w:rFonts w:ascii="Times New Roman" w:hAnsi="Times New Roman"/>
          <w:iCs/>
          <w:sz w:val="22"/>
          <w:szCs w:val="22"/>
        </w:rPr>
      </w:pPr>
      <w:r w:rsidRPr="00CA1535">
        <w:rPr>
          <w:rFonts w:ascii="Times New Roman" w:hAnsi="Times New Roman"/>
          <w:iCs/>
          <w:sz w:val="22"/>
          <w:szCs w:val="22"/>
        </w:rPr>
        <w:t>Contractor shall be provided the opportunity to cure certain performance failures or instances of default as described in the contract documents. The legal dispute resolution process as applicable under the Texas Civil Practice and Remedies Code shall include, but is not limited to, Texas and Civil Practice and Remedies Section 38 – Attorney’s Fees, Texas Civil Practice and Remedies Section 41 – Damages,  and Texas Civil Practice and Remedies Section 154 – General Provisions. Harris County and Contractor(s) should attempt to resolve any claim for breach of contract made by Contractor, to the extent it is applicable to the Contract and not preempted by other law. Except as otherwise provided by law, nothing herein is a waiver by the County or the State of Texas of the right to seek redress in a court of law.</w:t>
      </w:r>
    </w:p>
    <w:p w14:paraId="4A4EB6E0" w14:textId="5B2EE65F" w:rsidR="00DD6D54" w:rsidRPr="00CA1535" w:rsidRDefault="00DD6D54" w:rsidP="00DD6D54">
      <w:pPr>
        <w:spacing w:before="200" w:after="200" w:line="276" w:lineRule="auto"/>
        <w:ind w:left="360"/>
        <w:jc w:val="both"/>
        <w:rPr>
          <w:rFonts w:ascii="Times New Roman" w:hAnsi="Times New Roman"/>
          <w:iCs/>
          <w:sz w:val="22"/>
          <w:szCs w:val="22"/>
        </w:rPr>
      </w:pPr>
      <w:r w:rsidRPr="00CA1535">
        <w:rPr>
          <w:rFonts w:ascii="Times New Roman" w:hAnsi="Times New Roman"/>
          <w:iCs/>
          <w:sz w:val="22"/>
          <w:szCs w:val="22"/>
        </w:rPr>
        <w:t xml:space="preserve">Termination provisions are included in the </w:t>
      </w:r>
      <w:r w:rsidRPr="00CA1535">
        <w:rPr>
          <w:rFonts w:ascii="Times New Roman" w:hAnsi="Times New Roman"/>
          <w:b/>
          <w:iCs/>
          <w:sz w:val="22"/>
          <w:szCs w:val="22"/>
        </w:rPr>
        <w:t xml:space="preserve">Contract </w:t>
      </w:r>
      <w:r w:rsidR="002F00BB" w:rsidRPr="00CA1535">
        <w:rPr>
          <w:rFonts w:ascii="Times New Roman" w:hAnsi="Times New Roman"/>
          <w:b/>
          <w:iCs/>
          <w:sz w:val="22"/>
          <w:szCs w:val="22"/>
        </w:rPr>
        <w:t>Requirements &amp; Payment</w:t>
      </w:r>
      <w:r w:rsidRPr="00CA1535">
        <w:rPr>
          <w:rFonts w:ascii="Times New Roman" w:hAnsi="Times New Roman"/>
          <w:iCs/>
          <w:sz w:val="22"/>
          <w:szCs w:val="22"/>
        </w:rPr>
        <w:t xml:space="preserve">, Section VIII, portion of this </w:t>
      </w:r>
      <w:r w:rsidR="009B2229" w:rsidRPr="00CA1535">
        <w:rPr>
          <w:rFonts w:ascii="Times New Roman" w:hAnsi="Times New Roman"/>
          <w:iCs/>
          <w:sz w:val="22"/>
          <w:szCs w:val="22"/>
        </w:rPr>
        <w:t>IFB</w:t>
      </w:r>
      <w:r w:rsidRPr="00CA1535">
        <w:rPr>
          <w:rFonts w:ascii="Times New Roman" w:hAnsi="Times New Roman"/>
          <w:iCs/>
          <w:sz w:val="22"/>
          <w:szCs w:val="22"/>
        </w:rPr>
        <w:t>.</w:t>
      </w:r>
    </w:p>
    <w:p w14:paraId="48CA89AA" w14:textId="77777777" w:rsidR="00DD6D54" w:rsidRPr="00CA1535" w:rsidRDefault="00DD6D54" w:rsidP="00DD6D54">
      <w:pPr>
        <w:spacing w:before="200" w:after="200" w:line="276" w:lineRule="auto"/>
        <w:ind w:left="360"/>
        <w:jc w:val="both"/>
        <w:rPr>
          <w:rFonts w:ascii="Times New Roman" w:eastAsia="Arial" w:hAnsi="Times New Roman"/>
          <w:b/>
          <w:bCs/>
          <w:sz w:val="22"/>
          <w:szCs w:val="22"/>
        </w:rPr>
      </w:pPr>
      <w:r w:rsidRPr="00CA1535">
        <w:rPr>
          <w:rFonts w:ascii="Times New Roman" w:eastAsia="Arial" w:hAnsi="Times New Roman"/>
          <w:b/>
          <w:bCs/>
          <w:position w:val="-1"/>
          <w:sz w:val="22"/>
          <w:szCs w:val="22"/>
        </w:rPr>
        <w:t>VERIFICATION NOT TO BOYCOTT ISRAEL</w:t>
      </w:r>
    </w:p>
    <w:p w14:paraId="1D1013E1" w14:textId="30FC650E" w:rsidR="00DD6D54" w:rsidRPr="00CA1535" w:rsidRDefault="00DD6D54" w:rsidP="00DD6D54">
      <w:pPr>
        <w:spacing w:before="200" w:after="200" w:line="276" w:lineRule="auto"/>
        <w:ind w:left="360"/>
        <w:jc w:val="both"/>
        <w:rPr>
          <w:rFonts w:ascii="Times New Roman" w:eastAsia="Arial" w:hAnsi="Times New Roman"/>
          <w:position w:val="-1"/>
          <w:sz w:val="22"/>
          <w:szCs w:val="22"/>
        </w:rPr>
      </w:pPr>
      <w:r w:rsidRPr="00CA1535">
        <w:rPr>
          <w:rFonts w:ascii="Times New Roman" w:eastAsia="Arial" w:hAnsi="Times New Roman"/>
          <w:position w:val="-1"/>
          <w:sz w:val="22"/>
          <w:szCs w:val="22"/>
        </w:rPr>
        <w:lastRenderedPageBreak/>
        <w:t xml:space="preserve">As required by Texas Government Code Chapter 2270, Contractor verifies that it does not boycott Israel and will not boycott Israel through the term of this Contract. For purposes of this verification, “boycott Israel” means refusing to deal with, terminating business activities with, or otherwise taking any action that is intended to penalize, inflict economic harm on, or limit commercial relations specifically with Israel, or with a person or entity doing business in Israel or in an Israeli-controlled territory, but does not include an action made for ordinary business purposes. </w:t>
      </w:r>
    </w:p>
    <w:p w14:paraId="0CD75F68" w14:textId="77777777" w:rsidR="00DD6D54" w:rsidRPr="00CA1535" w:rsidRDefault="00DD6D54" w:rsidP="00DD6D54">
      <w:pPr>
        <w:spacing w:before="200" w:after="200" w:line="276" w:lineRule="auto"/>
        <w:ind w:left="360"/>
        <w:jc w:val="both"/>
        <w:rPr>
          <w:rFonts w:ascii="Times New Roman" w:eastAsia="Arial" w:hAnsi="Times New Roman"/>
          <w:b/>
          <w:bCs/>
          <w:sz w:val="22"/>
          <w:szCs w:val="22"/>
        </w:rPr>
      </w:pPr>
      <w:r w:rsidRPr="00CA1535">
        <w:rPr>
          <w:rFonts w:ascii="Times New Roman" w:eastAsia="Arial" w:hAnsi="Times New Roman"/>
          <w:b/>
          <w:bCs/>
          <w:position w:val="-1"/>
          <w:sz w:val="22"/>
          <w:szCs w:val="22"/>
        </w:rPr>
        <w:t>VENDORS/CONTRACTORS OWING TAXES OR OTHER DEBTS</w:t>
      </w:r>
    </w:p>
    <w:p w14:paraId="3D73C2E4" w14:textId="77777777" w:rsidR="00DD6D54" w:rsidRPr="00CA1535" w:rsidRDefault="00DD6D54" w:rsidP="00DD6D54">
      <w:pPr>
        <w:spacing w:before="200" w:after="200" w:line="276" w:lineRule="auto"/>
        <w:ind w:left="360"/>
        <w:jc w:val="both"/>
        <w:rPr>
          <w:rFonts w:ascii="Times New Roman" w:eastAsia="Arial" w:hAnsi="Times New Roman"/>
          <w:position w:val="-1"/>
          <w:sz w:val="22"/>
          <w:szCs w:val="22"/>
        </w:rPr>
      </w:pPr>
      <w:r w:rsidRPr="00CA1535">
        <w:rPr>
          <w:rFonts w:ascii="Times New Roman" w:eastAsia="Arial" w:hAnsi="Times New Roman"/>
          <w:position w:val="-1"/>
          <w:sz w:val="22"/>
          <w:szCs w:val="22"/>
        </w:rPr>
        <w:t xml:space="preserve">Pursuant to Texas Local Government Code 262.0276, if, during the performance of this contract, Contractor’s taxes become delinquent or Contractor becomes otherwise indebted to Harris County, Harris County reserves the right to provide notice to the Auditor or Treasurer pursuant to Texas Local Government Code 154.045.  </w:t>
      </w:r>
    </w:p>
    <w:p w14:paraId="1D0881D1" w14:textId="77777777" w:rsidR="00DD6D54" w:rsidRPr="00CA1535" w:rsidRDefault="00DD6D54" w:rsidP="00DD6D54">
      <w:pPr>
        <w:spacing w:before="200" w:after="200" w:line="276" w:lineRule="auto"/>
        <w:ind w:left="360"/>
        <w:jc w:val="both"/>
        <w:rPr>
          <w:rFonts w:ascii="Times New Roman" w:eastAsia="Arial" w:hAnsi="Times New Roman"/>
          <w:position w:val="-1"/>
          <w:sz w:val="22"/>
          <w:szCs w:val="22"/>
        </w:rPr>
      </w:pPr>
      <w:r w:rsidRPr="00CA1535">
        <w:rPr>
          <w:rFonts w:ascii="Times New Roman" w:eastAsia="Arial" w:hAnsi="Times New Roman"/>
          <w:position w:val="-1"/>
          <w:sz w:val="22"/>
          <w:szCs w:val="22"/>
        </w:rPr>
        <w:t>Whether or not a Contractor’s taxes are delinquent will be determined by an independent review of the Tax Office records. Contractors are encouraged to visit the Tax Office website at www.hctax.net, set up a portfolio of their accounts and make their own initial determination of the status of their tax accounts. Contractors who believe a delinquency is reflected in error must contact the Tax Office to correct any errors or discrepancies prior to submitting their bid in order to ensure that their bid will be considered. Furthermore, if, during the performance of this contract, a Contractor’s taxes become delinquent or a vendor becomes otherwise indebted to Harris County, Harris County reserves the right to provide notice to the Auditor or Treasurer pursuant to Texas Local Government Code §154.045. This policy is effective for all bids due on or after November 1, 2009.</w:t>
      </w:r>
    </w:p>
    <w:p w14:paraId="6A68F25C" w14:textId="77777777" w:rsidR="00DD6D54" w:rsidRPr="00CA1535" w:rsidRDefault="00DD6D54" w:rsidP="00DD6D54">
      <w:pPr>
        <w:spacing w:before="200" w:line="276" w:lineRule="auto"/>
        <w:ind w:left="360"/>
        <w:jc w:val="both"/>
        <w:rPr>
          <w:rFonts w:ascii="Times New Roman" w:eastAsia="Arial" w:hAnsi="Times New Roman"/>
          <w:b/>
          <w:caps/>
          <w:position w:val="-1"/>
          <w:sz w:val="22"/>
          <w:szCs w:val="22"/>
        </w:rPr>
      </w:pPr>
      <w:r w:rsidRPr="00CA1535">
        <w:rPr>
          <w:rFonts w:ascii="Times New Roman" w:eastAsia="Arial" w:hAnsi="Times New Roman"/>
          <w:b/>
          <w:caps/>
          <w:position w:val="-1"/>
          <w:sz w:val="22"/>
          <w:szCs w:val="22"/>
        </w:rPr>
        <w:t>Whistleblower Protection Act</w:t>
      </w:r>
    </w:p>
    <w:p w14:paraId="57269F8B" w14:textId="77777777" w:rsidR="00DD6D54" w:rsidRPr="00CA1535" w:rsidRDefault="00DD6D54" w:rsidP="00DD6D54">
      <w:pPr>
        <w:spacing w:before="200" w:line="276" w:lineRule="auto"/>
        <w:ind w:left="360"/>
        <w:jc w:val="both"/>
        <w:rPr>
          <w:rFonts w:ascii="Times New Roman" w:eastAsia="Arial" w:hAnsi="Times New Roman"/>
          <w:position w:val="-1"/>
          <w:sz w:val="22"/>
          <w:szCs w:val="22"/>
        </w:rPr>
      </w:pPr>
      <w:r w:rsidRPr="00CA1535">
        <w:rPr>
          <w:rFonts w:ascii="Times New Roman" w:eastAsia="Arial" w:hAnsi="Times New Roman"/>
          <w:position w:val="-1"/>
          <w:sz w:val="22"/>
          <w:szCs w:val="22"/>
        </w:rPr>
        <w:t>Contractor, subcontractors, and employees working on this Project shall be subject 41 U.S. Code § 4712, which requires that an employee of a contractor, subcontractor, grantee, or subgrantee or personal services contractor may not be discharged, demoted, or otherwise discriminated against as a reprisal for disclosing information that the employee reasonably believes is evidence of gross mismanagement of a Federal contract or grant, a gross waste of Federal funds, an abuse of authority relating to a Federal contract or grant, a substantial and specific danger to public health or safety, or a violation of law, rule, or regulation related to a Federal contract (including the competition for or negotiation of a contract) or grant.</w:t>
      </w:r>
    </w:p>
    <w:p w14:paraId="0D4CF1DD" w14:textId="201BA9D6" w:rsidR="008742D7" w:rsidRDefault="00DD6D54" w:rsidP="00B44A13">
      <w:pPr>
        <w:spacing w:before="200" w:line="276" w:lineRule="auto"/>
        <w:ind w:left="360"/>
        <w:jc w:val="both"/>
        <w:rPr>
          <w:rFonts w:ascii="Times New Roman" w:hAnsi="Times New Roman"/>
          <w:sz w:val="22"/>
          <w:szCs w:val="22"/>
        </w:rPr>
      </w:pPr>
      <w:r w:rsidRPr="00CA1535">
        <w:rPr>
          <w:rFonts w:ascii="Times New Roman" w:eastAsia="Arial" w:hAnsi="Times New Roman"/>
          <w:position w:val="-1"/>
          <w:sz w:val="22"/>
          <w:szCs w:val="22"/>
        </w:rPr>
        <w:t>The Contractor shall inform its employees and subcontractors in writing, in the predominant language of the workforce, of employee whistleblower rights and protections under 41 U.S.C. 4712, as described in section 3.908 of the Federal Acquisition Regulation.  The Contractor shall insert the substance of this clause, including this paragraph, in all subcontracts providing services for this Project.</w:t>
      </w:r>
      <w:r w:rsidR="00B44A13">
        <w:rPr>
          <w:rFonts w:ascii="Times New Roman" w:hAnsi="Times New Roman"/>
          <w:sz w:val="22"/>
          <w:szCs w:val="22"/>
        </w:rPr>
        <w:t xml:space="preserve"> </w:t>
      </w:r>
    </w:p>
    <w:sectPr w:rsidR="008742D7" w:rsidSect="0061659D">
      <w:headerReference w:type="even" r:id="rId12"/>
      <w:headerReference w:type="default" r:id="rId13"/>
      <w:footerReference w:type="even" r:id="rId14"/>
      <w:footerReference w:type="default" r:id="rId15"/>
      <w:headerReference w:type="first" r:id="rId16"/>
      <w:footerReference w:type="first" r:id="rId17"/>
      <w:pgSz w:w="12240" w:h="15840" w:code="1"/>
      <w:pgMar w:top="1080" w:right="1080" w:bottom="720" w:left="108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CC565" w14:textId="77777777" w:rsidR="002B5B54" w:rsidRDefault="002B5B54">
      <w:r>
        <w:separator/>
      </w:r>
    </w:p>
  </w:endnote>
  <w:endnote w:type="continuationSeparator" w:id="0">
    <w:p w14:paraId="44C4FE5F" w14:textId="77777777" w:rsidR="002B5B54" w:rsidRDefault="002B5B54">
      <w:r>
        <w:continuationSeparator/>
      </w:r>
    </w:p>
  </w:endnote>
  <w:endnote w:type="continuationNotice" w:id="1">
    <w:p w14:paraId="6A3890ED" w14:textId="77777777" w:rsidR="002B5B54" w:rsidRDefault="002B5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8CA2C" w14:textId="77777777" w:rsidR="00305FBB" w:rsidRDefault="00305F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322953"/>
      <w:docPartObj>
        <w:docPartGallery w:val="Page Numbers (Bottom of Page)"/>
        <w:docPartUnique/>
      </w:docPartObj>
    </w:sdtPr>
    <w:sdtEndPr/>
    <w:sdtContent>
      <w:sdt>
        <w:sdtPr>
          <w:id w:val="1728636285"/>
          <w:docPartObj>
            <w:docPartGallery w:val="Page Numbers (Top of Page)"/>
            <w:docPartUnique/>
          </w:docPartObj>
        </w:sdtPr>
        <w:sdtEndPr/>
        <w:sdtContent>
          <w:p w14:paraId="2E6F1542" w14:textId="7238ABFF" w:rsidR="009B2229" w:rsidRDefault="009B2229">
            <w:pPr>
              <w:pStyle w:val="Footer"/>
              <w:jc w:val="center"/>
            </w:pPr>
            <w:r>
              <w:t xml:space="preserve">Page </w:t>
            </w:r>
            <w:r w:rsidRPr="009B2229">
              <w:rPr>
                <w:szCs w:val="24"/>
              </w:rPr>
              <w:fldChar w:fldCharType="begin"/>
            </w:r>
            <w:r w:rsidRPr="009B2229">
              <w:instrText xml:space="preserve"> PAGE </w:instrText>
            </w:r>
            <w:r w:rsidRPr="009B2229">
              <w:rPr>
                <w:szCs w:val="24"/>
              </w:rPr>
              <w:fldChar w:fldCharType="separate"/>
            </w:r>
            <w:r w:rsidRPr="009B2229">
              <w:rPr>
                <w:noProof/>
              </w:rPr>
              <w:t>2</w:t>
            </w:r>
            <w:r w:rsidRPr="009B2229">
              <w:rPr>
                <w:szCs w:val="24"/>
              </w:rPr>
              <w:fldChar w:fldCharType="end"/>
            </w:r>
            <w:r w:rsidRPr="009B2229">
              <w:t xml:space="preserve"> of </w:t>
            </w:r>
            <w:r w:rsidR="003247DB">
              <w:fldChar w:fldCharType="begin"/>
            </w:r>
            <w:r w:rsidR="003247DB">
              <w:instrText xml:space="preserve"> NUMPAGES  </w:instrText>
            </w:r>
            <w:r w:rsidR="003247DB">
              <w:fldChar w:fldCharType="separate"/>
            </w:r>
            <w:r w:rsidRPr="009B2229">
              <w:rPr>
                <w:noProof/>
              </w:rPr>
              <w:t>2</w:t>
            </w:r>
            <w:r w:rsidR="003247DB">
              <w:rPr>
                <w:noProof/>
              </w:rPr>
              <w:fldChar w:fldCharType="end"/>
            </w:r>
          </w:p>
        </w:sdtContent>
      </w:sdt>
    </w:sdtContent>
  </w:sdt>
  <w:p w14:paraId="6AD9851F" w14:textId="2C1E2E8D" w:rsidR="001A04E8" w:rsidRDefault="00413C21">
    <w:r>
      <w:t xml:space="preserve">Revised </w:t>
    </w:r>
    <w:r w:rsidR="003247DB">
      <w:t>10/29</w:t>
    </w:r>
    <w:r>
      <w:t>/202</w:t>
    </w:r>
    <w:r w:rsidR="003247DB">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1FF92" w14:textId="77777777" w:rsidR="00305FBB" w:rsidRDefault="00305F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7096D" w14:textId="77777777" w:rsidR="002B5B54" w:rsidRDefault="002B5B54">
      <w:r>
        <w:separator/>
      </w:r>
    </w:p>
  </w:footnote>
  <w:footnote w:type="continuationSeparator" w:id="0">
    <w:p w14:paraId="5424080B" w14:textId="77777777" w:rsidR="002B5B54" w:rsidRDefault="002B5B54">
      <w:r>
        <w:continuationSeparator/>
      </w:r>
    </w:p>
  </w:footnote>
  <w:footnote w:type="continuationNotice" w:id="1">
    <w:p w14:paraId="37BF96F3" w14:textId="77777777" w:rsidR="002B5B54" w:rsidRDefault="002B5B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7D46C" w14:textId="77777777" w:rsidR="00305FBB" w:rsidRDefault="00305F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8EDDA" w14:textId="6007EFA1" w:rsidR="00B44A13" w:rsidRPr="0094631B" w:rsidRDefault="00B44A13" w:rsidP="00B44A13">
    <w:pPr>
      <w:widowControl w:val="0"/>
      <w:tabs>
        <w:tab w:val="center" w:pos="5040"/>
      </w:tabs>
      <w:spacing w:before="120"/>
      <w:jc w:val="center"/>
      <w:rPr>
        <w:rFonts w:ascii="Times New Roman" w:hAnsi="Times New Roman"/>
        <w:bCs/>
        <w:sz w:val="28"/>
        <w:szCs w:val="28"/>
      </w:rPr>
    </w:pPr>
    <w:r>
      <w:rPr>
        <w:rFonts w:ascii="Times New Roman" w:hAnsi="Times New Roman"/>
        <w:bCs/>
        <w:sz w:val="28"/>
        <w:szCs w:val="28"/>
      </w:rPr>
      <w:t>A</w:t>
    </w:r>
    <w:r w:rsidR="000C4462">
      <w:rPr>
        <w:rFonts w:ascii="Times New Roman" w:hAnsi="Times New Roman"/>
        <w:bCs/>
        <w:sz w:val="28"/>
        <w:szCs w:val="28"/>
      </w:rPr>
      <w:t xml:space="preserve">ttachment </w:t>
    </w:r>
    <w:r w:rsidR="00305FBB">
      <w:rPr>
        <w:rFonts w:ascii="Times New Roman" w:hAnsi="Times New Roman"/>
        <w:bCs/>
        <w:sz w:val="28"/>
        <w:szCs w:val="28"/>
      </w:rPr>
      <w:t>N</w:t>
    </w:r>
  </w:p>
  <w:p w14:paraId="490CA455" w14:textId="67E9915F" w:rsidR="002E0AA5" w:rsidRPr="00843FAC" w:rsidRDefault="00B44A13" w:rsidP="00B44A13">
    <w:pPr>
      <w:pStyle w:val="Header"/>
      <w:jc w:val="center"/>
    </w:pPr>
    <w:r>
      <w:rPr>
        <w:rFonts w:ascii="Times New Roman" w:hAnsi="Times New Roman"/>
        <w:b/>
        <w:sz w:val="28"/>
        <w:szCs w:val="28"/>
      </w:rPr>
      <w:t>REQUIRED CONTRACT PROVISIONS</w:t>
    </w:r>
  </w:p>
  <w:p w14:paraId="4F373771" w14:textId="77777777" w:rsidR="001A04E8" w:rsidRDefault="001A04E8"/>
  <w:p w14:paraId="279C07D3" w14:textId="77777777" w:rsidR="001A04E8" w:rsidRDefault="001A04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D3A80" w14:textId="77777777" w:rsidR="00305FBB" w:rsidRDefault="00305F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55B0B"/>
    <w:multiLevelType w:val="hybridMultilevel"/>
    <w:tmpl w:val="DC38FDA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ED7405"/>
    <w:multiLevelType w:val="hybridMultilevel"/>
    <w:tmpl w:val="D520C05C"/>
    <w:lvl w:ilvl="0" w:tplc="FC5040EC">
      <w:start w:val="1"/>
      <w:numFmt w:val="upperLetter"/>
      <w:lvlText w:val="%1."/>
      <w:lvlJc w:val="left"/>
      <w:pPr>
        <w:ind w:left="1440" w:hanging="360"/>
      </w:pPr>
      <w:rPr>
        <w:rFonts w:ascii="CG Times" w:eastAsia="Times New Roman" w:hAnsi="CG Times"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984DE7"/>
    <w:multiLevelType w:val="hybridMultilevel"/>
    <w:tmpl w:val="9962D96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8F0023D"/>
    <w:multiLevelType w:val="hybridMultilevel"/>
    <w:tmpl w:val="244CDFC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9F06A72"/>
    <w:multiLevelType w:val="hybridMultilevel"/>
    <w:tmpl w:val="E29AE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A0F24A3"/>
    <w:multiLevelType w:val="hybridMultilevel"/>
    <w:tmpl w:val="94FCEE32"/>
    <w:lvl w:ilvl="0" w:tplc="9C2CF1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40AFD"/>
    <w:multiLevelType w:val="hybridMultilevel"/>
    <w:tmpl w:val="74CA0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58013A3"/>
    <w:multiLevelType w:val="hybridMultilevel"/>
    <w:tmpl w:val="7332E20A"/>
    <w:lvl w:ilvl="0" w:tplc="35A20EA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5E23F95"/>
    <w:multiLevelType w:val="hybridMultilevel"/>
    <w:tmpl w:val="30989A32"/>
    <w:lvl w:ilvl="0" w:tplc="4170C6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7D621D1"/>
    <w:multiLevelType w:val="hybridMultilevel"/>
    <w:tmpl w:val="A708473E"/>
    <w:lvl w:ilvl="0" w:tplc="EB2458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90D39EA"/>
    <w:multiLevelType w:val="hybridMultilevel"/>
    <w:tmpl w:val="EA1E0C3C"/>
    <w:lvl w:ilvl="0" w:tplc="C91CADE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C122103"/>
    <w:multiLevelType w:val="hybridMultilevel"/>
    <w:tmpl w:val="0E681BFA"/>
    <w:lvl w:ilvl="0" w:tplc="F342E58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1CDC5AD7"/>
    <w:multiLevelType w:val="hybridMultilevel"/>
    <w:tmpl w:val="43E64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1104B"/>
    <w:multiLevelType w:val="hybridMultilevel"/>
    <w:tmpl w:val="66949F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73A50"/>
    <w:multiLevelType w:val="hybridMultilevel"/>
    <w:tmpl w:val="6D082C50"/>
    <w:lvl w:ilvl="0" w:tplc="6CF0AB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2F71057"/>
    <w:multiLevelType w:val="multilevel"/>
    <w:tmpl w:val="599E9786"/>
    <w:name w:val="zzmpOutline||Outline|2|3|1|1|12|41||1|2|33||1|2|0||1|2|0||1|2|0||1|12|0||1|12|0||1|12|0||1|12|0||"/>
    <w:lvl w:ilvl="0">
      <w:start w:val="1"/>
      <w:numFmt w:val="upperRoman"/>
      <w:pStyle w:val="OutlineL1"/>
      <w:lvlText w:val="%1."/>
      <w:lvlJc w:val="left"/>
      <w:pPr>
        <w:tabs>
          <w:tab w:val="num" w:pos="720"/>
        </w:tabs>
        <w:ind w:left="0" w:firstLine="0"/>
      </w:pPr>
      <w:rPr>
        <w:b/>
        <w:i w:val="0"/>
        <w:caps/>
        <w:smallCaps w:val="0"/>
        <w:u w:val="none"/>
      </w:rPr>
    </w:lvl>
    <w:lvl w:ilvl="1">
      <w:start w:val="1"/>
      <w:numFmt w:val="upperLetter"/>
      <w:pStyle w:val="OutlineL2"/>
      <w:lvlText w:val="%2."/>
      <w:lvlJc w:val="left"/>
      <w:pPr>
        <w:tabs>
          <w:tab w:val="num" w:pos="1440"/>
        </w:tabs>
        <w:ind w:left="1440" w:hanging="720"/>
      </w:pPr>
      <w:rPr>
        <w:b/>
        <w:i w:val="0"/>
        <w:caps w:val="0"/>
        <w:u w:val="none"/>
      </w:rPr>
    </w:lvl>
    <w:lvl w:ilvl="2">
      <w:start w:val="1"/>
      <w:numFmt w:val="decimal"/>
      <w:pStyle w:val="OutlineL3"/>
      <w:lvlText w:val="%3."/>
      <w:lvlJc w:val="left"/>
      <w:pPr>
        <w:tabs>
          <w:tab w:val="num" w:pos="2160"/>
        </w:tabs>
        <w:ind w:left="2160" w:hanging="720"/>
      </w:pPr>
      <w:rPr>
        <w:b w:val="0"/>
        <w:i w:val="0"/>
        <w:caps w:val="0"/>
        <w:u w:val="none"/>
      </w:rPr>
    </w:lvl>
    <w:lvl w:ilvl="3">
      <w:start w:val="1"/>
      <w:numFmt w:val="lowerLetter"/>
      <w:pStyle w:val="OutlineL4"/>
      <w:lvlText w:val="%4."/>
      <w:lvlJc w:val="left"/>
      <w:pPr>
        <w:tabs>
          <w:tab w:val="num" w:pos="2880"/>
        </w:tabs>
        <w:ind w:left="2880" w:hanging="720"/>
      </w:pPr>
      <w:rPr>
        <w:b w:val="0"/>
        <w:i w:val="0"/>
        <w:caps w:val="0"/>
        <w:u w:val="none"/>
      </w:rPr>
    </w:lvl>
    <w:lvl w:ilvl="4">
      <w:start w:val="1"/>
      <w:numFmt w:val="lowerRoman"/>
      <w:pStyle w:val="OutlineL5"/>
      <w:lvlText w:val="%5."/>
      <w:lvlJc w:val="left"/>
      <w:pPr>
        <w:tabs>
          <w:tab w:val="num" w:pos="3600"/>
        </w:tabs>
        <w:ind w:left="3600" w:hanging="720"/>
      </w:pPr>
      <w:rPr>
        <w:b w:val="0"/>
        <w:i w:val="0"/>
        <w:caps w:val="0"/>
        <w:u w:val="none"/>
      </w:rPr>
    </w:lvl>
    <w:lvl w:ilvl="5">
      <w:start w:val="1"/>
      <w:numFmt w:val="lowerLetter"/>
      <w:pStyle w:val="OutlineL6"/>
      <w:lvlText w:val="(%6)"/>
      <w:lvlJc w:val="left"/>
      <w:pPr>
        <w:tabs>
          <w:tab w:val="num" w:pos="4320"/>
        </w:tabs>
        <w:ind w:left="0" w:firstLine="3600"/>
      </w:pPr>
      <w:rPr>
        <w:b w:val="0"/>
        <w:i w:val="0"/>
        <w:caps w:val="0"/>
        <w:u w:val="none"/>
      </w:rPr>
    </w:lvl>
    <w:lvl w:ilvl="6">
      <w:start w:val="1"/>
      <w:numFmt w:val="decimal"/>
      <w:pStyle w:val="OutlineL7"/>
      <w:lvlText w:val="(%7)"/>
      <w:lvlJc w:val="left"/>
      <w:pPr>
        <w:tabs>
          <w:tab w:val="num" w:pos="5040"/>
        </w:tabs>
        <w:ind w:left="0" w:firstLine="4320"/>
      </w:pPr>
      <w:rPr>
        <w:b w:val="0"/>
        <w:i w:val="0"/>
        <w:caps w:val="0"/>
        <w:u w:val="none"/>
      </w:rPr>
    </w:lvl>
    <w:lvl w:ilvl="7">
      <w:start w:val="1"/>
      <w:numFmt w:val="lowerRoman"/>
      <w:pStyle w:val="OutlineL8"/>
      <w:lvlText w:val="%8)"/>
      <w:lvlJc w:val="left"/>
      <w:pPr>
        <w:tabs>
          <w:tab w:val="num" w:pos="5760"/>
        </w:tabs>
        <w:ind w:left="0" w:firstLine="5040"/>
      </w:pPr>
      <w:rPr>
        <w:b w:val="0"/>
        <w:i w:val="0"/>
        <w:caps w:val="0"/>
        <w:u w:val="none"/>
      </w:rPr>
    </w:lvl>
    <w:lvl w:ilvl="8">
      <w:start w:val="1"/>
      <w:numFmt w:val="lowerLetter"/>
      <w:pStyle w:val="OutlineL9"/>
      <w:lvlText w:val="%9)"/>
      <w:lvlJc w:val="left"/>
      <w:pPr>
        <w:tabs>
          <w:tab w:val="num" w:pos="6480"/>
        </w:tabs>
        <w:ind w:left="0" w:firstLine="5760"/>
      </w:pPr>
      <w:rPr>
        <w:b w:val="0"/>
        <w:i w:val="0"/>
        <w:caps w:val="0"/>
        <w:u w:val="none"/>
      </w:rPr>
    </w:lvl>
  </w:abstractNum>
  <w:abstractNum w:abstractNumId="17" w15:restartNumberingAfterBreak="0">
    <w:nsid w:val="252D5FC2"/>
    <w:multiLevelType w:val="hybridMultilevel"/>
    <w:tmpl w:val="E0A4AF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66F2F7F"/>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9" w15:restartNumberingAfterBreak="0">
    <w:nsid w:val="28F87411"/>
    <w:multiLevelType w:val="hybridMultilevel"/>
    <w:tmpl w:val="49EC4246"/>
    <w:lvl w:ilvl="0" w:tplc="7E0E78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A390103"/>
    <w:multiLevelType w:val="multilevel"/>
    <w:tmpl w:val="6ACEFADC"/>
    <w:name w:val="zzmpTabbed||Tabbed|2|3|1|1|10|0||1|10|0||1|12|1||1|12|1||1|12|0||1|12|0||1|12|0||1|12|0||1|12|0||"/>
    <w:lvl w:ilvl="0">
      <w:start w:val="1"/>
      <w:numFmt w:val="decimal"/>
      <w:pStyle w:val="TabbedL1"/>
      <w:lvlText w:val="%1."/>
      <w:lvlJc w:val="left"/>
      <w:pPr>
        <w:tabs>
          <w:tab w:val="num" w:pos="1440"/>
        </w:tabs>
        <w:ind w:left="1440" w:hanging="720"/>
      </w:pPr>
      <w:rPr>
        <w:b w:val="0"/>
        <w:i w:val="0"/>
        <w:caps w:val="0"/>
        <w:sz w:val="20"/>
        <w:szCs w:val="20"/>
        <w:u w:val="none"/>
      </w:rPr>
    </w:lvl>
    <w:lvl w:ilvl="1">
      <w:start w:val="1"/>
      <w:numFmt w:val="upperLetter"/>
      <w:pStyle w:val="TabbedL2"/>
      <w:lvlText w:val="%2."/>
      <w:lvlJc w:val="left"/>
      <w:pPr>
        <w:tabs>
          <w:tab w:val="num" w:pos="2160"/>
        </w:tabs>
        <w:ind w:left="2160" w:hanging="720"/>
      </w:pPr>
      <w:rPr>
        <w:b w:val="0"/>
        <w:i w:val="0"/>
        <w:caps w:val="0"/>
        <w:u w:val="none"/>
      </w:rPr>
    </w:lvl>
    <w:lvl w:ilvl="2">
      <w:start w:val="1"/>
      <w:numFmt w:val="lowerRoman"/>
      <w:pStyle w:val="TabbedL3"/>
      <w:lvlText w:val="(%3)"/>
      <w:lvlJc w:val="left"/>
      <w:pPr>
        <w:tabs>
          <w:tab w:val="num" w:pos="2880"/>
        </w:tabs>
        <w:ind w:left="0" w:firstLine="2160"/>
      </w:pPr>
      <w:rPr>
        <w:b w:val="0"/>
        <w:i w:val="0"/>
        <w:caps w:val="0"/>
        <w:u w:val="none"/>
      </w:rPr>
    </w:lvl>
    <w:lvl w:ilvl="3">
      <w:start w:val="1"/>
      <w:numFmt w:val="decimal"/>
      <w:pStyle w:val="TabbedL4"/>
      <w:lvlText w:val="(%4)"/>
      <w:lvlJc w:val="left"/>
      <w:pPr>
        <w:tabs>
          <w:tab w:val="num" w:pos="3600"/>
        </w:tabs>
        <w:ind w:left="0" w:firstLine="2880"/>
      </w:pPr>
      <w:rPr>
        <w:b w:val="0"/>
        <w:i w:val="0"/>
        <w:caps w:val="0"/>
        <w:u w:val="none"/>
      </w:rPr>
    </w:lvl>
    <w:lvl w:ilvl="4">
      <w:start w:val="1"/>
      <w:numFmt w:val="lowerLetter"/>
      <w:pStyle w:val="TabbedL5"/>
      <w:lvlText w:val="%5."/>
      <w:lvlJc w:val="left"/>
      <w:pPr>
        <w:tabs>
          <w:tab w:val="num" w:pos="4320"/>
        </w:tabs>
        <w:ind w:left="0" w:firstLine="3600"/>
      </w:pPr>
      <w:rPr>
        <w:b w:val="0"/>
        <w:i w:val="0"/>
        <w:caps w:val="0"/>
        <w:u w:val="none"/>
      </w:rPr>
    </w:lvl>
    <w:lvl w:ilvl="5">
      <w:start w:val="1"/>
      <w:numFmt w:val="lowerRoman"/>
      <w:pStyle w:val="TabbedL6"/>
      <w:lvlText w:val="%6."/>
      <w:lvlJc w:val="left"/>
      <w:pPr>
        <w:tabs>
          <w:tab w:val="num" w:pos="5040"/>
        </w:tabs>
        <w:ind w:left="0" w:firstLine="4320"/>
      </w:pPr>
      <w:rPr>
        <w:b w:val="0"/>
        <w:i w:val="0"/>
        <w:caps w:val="0"/>
        <w:u w:val="none"/>
      </w:rPr>
    </w:lvl>
    <w:lvl w:ilvl="6">
      <w:start w:val="1"/>
      <w:numFmt w:val="decimal"/>
      <w:pStyle w:val="TabbedL7"/>
      <w:lvlText w:val="%7)"/>
      <w:lvlJc w:val="left"/>
      <w:pPr>
        <w:tabs>
          <w:tab w:val="num" w:pos="5760"/>
        </w:tabs>
        <w:ind w:left="0" w:firstLine="5040"/>
      </w:pPr>
      <w:rPr>
        <w:b w:val="0"/>
        <w:i w:val="0"/>
        <w:caps w:val="0"/>
        <w:u w:val="none"/>
      </w:rPr>
    </w:lvl>
    <w:lvl w:ilvl="7">
      <w:start w:val="1"/>
      <w:numFmt w:val="lowerLetter"/>
      <w:pStyle w:val="TabbedL8"/>
      <w:lvlText w:val="%8)"/>
      <w:lvlJc w:val="left"/>
      <w:pPr>
        <w:tabs>
          <w:tab w:val="num" w:pos="6480"/>
        </w:tabs>
        <w:ind w:left="0" w:firstLine="5760"/>
      </w:pPr>
      <w:rPr>
        <w:b w:val="0"/>
        <w:i w:val="0"/>
        <w:caps w:val="0"/>
        <w:u w:val="none"/>
      </w:rPr>
    </w:lvl>
    <w:lvl w:ilvl="8">
      <w:start w:val="1"/>
      <w:numFmt w:val="lowerRoman"/>
      <w:pStyle w:val="TabbedL9"/>
      <w:lvlText w:val="%9)"/>
      <w:lvlJc w:val="left"/>
      <w:pPr>
        <w:tabs>
          <w:tab w:val="num" w:pos="7200"/>
        </w:tabs>
        <w:ind w:left="0" w:firstLine="6480"/>
      </w:pPr>
      <w:rPr>
        <w:b w:val="0"/>
        <w:i w:val="0"/>
        <w:caps w:val="0"/>
        <w:u w:val="none"/>
      </w:rPr>
    </w:lvl>
  </w:abstractNum>
  <w:abstractNum w:abstractNumId="21" w15:restartNumberingAfterBreak="0">
    <w:nsid w:val="2CFB5F92"/>
    <w:multiLevelType w:val="hybridMultilevel"/>
    <w:tmpl w:val="1BF033A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736F2F"/>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3" w15:restartNumberingAfterBreak="0">
    <w:nsid w:val="31554DFE"/>
    <w:multiLevelType w:val="hybridMultilevel"/>
    <w:tmpl w:val="229E7E3A"/>
    <w:lvl w:ilvl="0" w:tplc="8AD2162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3284346E"/>
    <w:multiLevelType w:val="hybridMultilevel"/>
    <w:tmpl w:val="A6F8E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BD48C8"/>
    <w:multiLevelType w:val="hybridMultilevel"/>
    <w:tmpl w:val="DAAA58E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56B136F"/>
    <w:multiLevelType w:val="multilevel"/>
    <w:tmpl w:val="91808356"/>
    <w:name w:val="zzmpStandard||Standard|2|3|1|1|12|0||1|10|11||1|12|1||1|12|1||1|12|0||1|12|0||1|12|0||1|12|0||1|12|0||"/>
    <w:lvl w:ilvl="0">
      <w:start w:val="1"/>
      <w:numFmt w:val="decimal"/>
      <w:pStyle w:val="StandardL1"/>
      <w:lvlText w:val="(%1)"/>
      <w:lvlJc w:val="left"/>
      <w:pPr>
        <w:tabs>
          <w:tab w:val="num" w:pos="1440"/>
        </w:tabs>
        <w:ind w:left="1440" w:hanging="720"/>
      </w:pPr>
      <w:rPr>
        <w:b w:val="0"/>
        <w:i w:val="0"/>
        <w:caps w:val="0"/>
        <w:u w:val="none"/>
      </w:rPr>
    </w:lvl>
    <w:lvl w:ilvl="1">
      <w:start w:val="1"/>
      <w:numFmt w:val="upperLetter"/>
      <w:pStyle w:val="StandardL2"/>
      <w:lvlText w:val="_____  %2."/>
      <w:lvlJc w:val="left"/>
      <w:pPr>
        <w:tabs>
          <w:tab w:val="num" w:pos="720"/>
        </w:tabs>
        <w:ind w:left="0" w:firstLine="0"/>
      </w:pPr>
      <w:rPr>
        <w:u w:val="none"/>
      </w:rPr>
    </w:lvl>
    <w:lvl w:ilvl="2">
      <w:start w:val="1"/>
      <w:numFmt w:val="lowerRoman"/>
      <w:pStyle w:val="StandardL3"/>
      <w:lvlText w:val="(%3)"/>
      <w:lvlJc w:val="left"/>
      <w:pPr>
        <w:tabs>
          <w:tab w:val="num" w:pos="2160"/>
        </w:tabs>
        <w:ind w:left="0" w:firstLine="1440"/>
      </w:pPr>
      <w:rPr>
        <w:b w:val="0"/>
        <w:i w:val="0"/>
        <w:caps w:val="0"/>
        <w:u w:val="none"/>
      </w:rPr>
    </w:lvl>
    <w:lvl w:ilvl="3">
      <w:start w:val="1"/>
      <w:numFmt w:val="decimal"/>
      <w:pStyle w:val="StandardL4"/>
      <w:lvlText w:val="(%4)"/>
      <w:lvlJc w:val="left"/>
      <w:pPr>
        <w:tabs>
          <w:tab w:val="num" w:pos="2880"/>
        </w:tabs>
        <w:ind w:left="0" w:firstLine="2160"/>
      </w:pPr>
      <w:rPr>
        <w:b w:val="0"/>
        <w:i w:val="0"/>
        <w:caps w:val="0"/>
        <w:u w:val="none"/>
      </w:rPr>
    </w:lvl>
    <w:lvl w:ilvl="4">
      <w:start w:val="1"/>
      <w:numFmt w:val="lowerLetter"/>
      <w:pStyle w:val="StandardL5"/>
      <w:lvlText w:val="%5."/>
      <w:lvlJc w:val="left"/>
      <w:pPr>
        <w:tabs>
          <w:tab w:val="num" w:pos="3600"/>
        </w:tabs>
        <w:ind w:left="0" w:firstLine="2880"/>
      </w:pPr>
      <w:rPr>
        <w:b w:val="0"/>
        <w:i w:val="0"/>
        <w:caps w:val="0"/>
        <w:u w:val="none"/>
      </w:rPr>
    </w:lvl>
    <w:lvl w:ilvl="5">
      <w:start w:val="1"/>
      <w:numFmt w:val="lowerRoman"/>
      <w:pStyle w:val="StandardL6"/>
      <w:lvlText w:val="%6."/>
      <w:lvlJc w:val="left"/>
      <w:pPr>
        <w:tabs>
          <w:tab w:val="num" w:pos="4320"/>
        </w:tabs>
        <w:ind w:left="0" w:firstLine="3600"/>
      </w:pPr>
      <w:rPr>
        <w:b w:val="0"/>
        <w:i w:val="0"/>
        <w:caps w:val="0"/>
        <w:u w:val="none"/>
      </w:rPr>
    </w:lvl>
    <w:lvl w:ilvl="6">
      <w:start w:val="1"/>
      <w:numFmt w:val="decimal"/>
      <w:pStyle w:val="StandardL7"/>
      <w:lvlText w:val="%7)"/>
      <w:lvlJc w:val="left"/>
      <w:pPr>
        <w:tabs>
          <w:tab w:val="num" w:pos="5040"/>
        </w:tabs>
        <w:ind w:left="0" w:firstLine="4320"/>
      </w:pPr>
      <w:rPr>
        <w:b w:val="0"/>
        <w:i w:val="0"/>
        <w:caps w:val="0"/>
        <w:u w:val="none"/>
      </w:rPr>
    </w:lvl>
    <w:lvl w:ilvl="7">
      <w:start w:val="1"/>
      <w:numFmt w:val="lowerLetter"/>
      <w:pStyle w:val="StandardL8"/>
      <w:lvlText w:val="%8)"/>
      <w:lvlJc w:val="left"/>
      <w:pPr>
        <w:tabs>
          <w:tab w:val="num" w:pos="5760"/>
        </w:tabs>
        <w:ind w:left="0" w:firstLine="5040"/>
      </w:pPr>
      <w:rPr>
        <w:b w:val="0"/>
        <w:i w:val="0"/>
        <w:caps w:val="0"/>
        <w:u w:val="none"/>
      </w:rPr>
    </w:lvl>
    <w:lvl w:ilvl="8">
      <w:start w:val="1"/>
      <w:numFmt w:val="lowerRoman"/>
      <w:pStyle w:val="StandardL9"/>
      <w:lvlText w:val="%9)"/>
      <w:lvlJc w:val="left"/>
      <w:pPr>
        <w:tabs>
          <w:tab w:val="num" w:pos="6480"/>
        </w:tabs>
        <w:ind w:left="0" w:firstLine="5760"/>
      </w:pPr>
      <w:rPr>
        <w:b w:val="0"/>
        <w:i w:val="0"/>
        <w:caps w:val="0"/>
        <w:u w:val="none"/>
      </w:rPr>
    </w:lvl>
  </w:abstractNum>
  <w:abstractNum w:abstractNumId="27" w15:restartNumberingAfterBreak="0">
    <w:nsid w:val="395C2E9E"/>
    <w:multiLevelType w:val="hybridMultilevel"/>
    <w:tmpl w:val="F90041D8"/>
    <w:lvl w:ilvl="0" w:tplc="D30AAC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98F6B3B"/>
    <w:multiLevelType w:val="hybridMultilevel"/>
    <w:tmpl w:val="2048BC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AA75DF7"/>
    <w:multiLevelType w:val="hybridMultilevel"/>
    <w:tmpl w:val="174C3E62"/>
    <w:lvl w:ilvl="0" w:tplc="DB24B66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EE752CA"/>
    <w:multiLevelType w:val="hybridMultilevel"/>
    <w:tmpl w:val="45B46554"/>
    <w:lvl w:ilvl="0" w:tplc="338AC2B6">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F9D22D6"/>
    <w:multiLevelType w:val="hybridMultilevel"/>
    <w:tmpl w:val="57CCC7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5B4AC3"/>
    <w:multiLevelType w:val="hybridMultilevel"/>
    <w:tmpl w:val="0FA448A6"/>
    <w:lvl w:ilvl="0" w:tplc="4D926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5E1DF5"/>
    <w:multiLevelType w:val="hybridMultilevel"/>
    <w:tmpl w:val="F0EC3F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AA850C3"/>
    <w:multiLevelType w:val="hybridMultilevel"/>
    <w:tmpl w:val="B6C8C5DC"/>
    <w:lvl w:ilvl="0" w:tplc="04090001">
      <w:start w:val="1"/>
      <w:numFmt w:val="bullet"/>
      <w:lvlText w:val=""/>
      <w:lvlJc w:val="left"/>
      <w:pPr>
        <w:ind w:left="720" w:hanging="360"/>
      </w:pPr>
      <w:rPr>
        <w:rFonts w:ascii="Symbol" w:hAnsi="Symbol" w:hint="default"/>
        <w:b w:val="0"/>
      </w:rPr>
    </w:lvl>
    <w:lvl w:ilvl="1" w:tplc="F2F4033E">
      <w:start w:val="1"/>
      <w:numFmt w:val="lowerLetter"/>
      <w:lvlText w:val="%2."/>
      <w:lvlJc w:val="left"/>
      <w:pPr>
        <w:ind w:left="1440" w:hanging="360"/>
      </w:pPr>
      <w:rPr>
        <w:b w:val="0"/>
      </w:rPr>
    </w:lvl>
    <w:lvl w:ilvl="2" w:tplc="04090001">
      <w:start w:val="1"/>
      <w:numFmt w:val="bullet"/>
      <w:lvlText w:val=""/>
      <w:lvlJc w:val="left"/>
      <w:pPr>
        <w:ind w:left="2160" w:hanging="180"/>
      </w:pPr>
      <w:rPr>
        <w:rFonts w:ascii="Symbol" w:hAnsi="Symbol" w:hint="default"/>
        <w:b w:val="0"/>
        <w:i w:val="0"/>
      </w:rPr>
    </w:lvl>
    <w:lvl w:ilvl="3" w:tplc="0409000F">
      <w:start w:val="1"/>
      <w:numFmt w:val="decimal"/>
      <w:lvlText w:val="%4."/>
      <w:lvlJc w:val="left"/>
      <w:pPr>
        <w:ind w:left="2880" w:hanging="360"/>
      </w:pPr>
    </w:lvl>
    <w:lvl w:ilvl="4" w:tplc="D3BA28A4">
      <w:start w:val="1"/>
      <w:numFmt w:val="upperRoman"/>
      <w:lvlText w:val="%5."/>
      <w:lvlJc w:val="left"/>
      <w:pPr>
        <w:ind w:left="3960" w:hanging="720"/>
      </w:pPr>
      <w:rPr>
        <w:rFonts w:hint="default"/>
      </w:rPr>
    </w:lvl>
    <w:lvl w:ilvl="5" w:tplc="0409001B">
      <w:start w:val="1"/>
      <w:numFmt w:val="lowerRoman"/>
      <w:lvlText w:val="%6."/>
      <w:lvlJc w:val="right"/>
      <w:pPr>
        <w:ind w:left="4320" w:hanging="180"/>
      </w:pPr>
    </w:lvl>
    <w:lvl w:ilvl="6" w:tplc="CBCE3F76">
      <w:start w:val="1"/>
      <w:numFmt w:val="upperLetter"/>
      <w:lvlText w:val="%7."/>
      <w:lvlJc w:val="left"/>
      <w:pPr>
        <w:ind w:left="5040" w:hanging="360"/>
      </w:pPr>
      <w:rPr>
        <w:rFonts w:hint="default"/>
        <w:b/>
        <w:sz w:val="22"/>
        <w:szCs w:val="22"/>
      </w:r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EB1144"/>
    <w:multiLevelType w:val="hybridMultilevel"/>
    <w:tmpl w:val="108C1FF0"/>
    <w:lvl w:ilvl="0" w:tplc="8646A83E">
      <w:start w:val="1"/>
      <w:numFmt w:val="lowerLetter"/>
      <w:lvlText w:val="%1."/>
      <w:lvlJc w:val="left"/>
      <w:pPr>
        <w:ind w:left="460" w:hanging="360"/>
        <w:jc w:val="left"/>
      </w:pPr>
      <w:rPr>
        <w:rFonts w:ascii="Times New Roman" w:eastAsia="Times New Roman" w:hAnsi="Times New Roman" w:cs="Times New Roman" w:hint="default"/>
        <w:w w:val="100"/>
        <w:sz w:val="22"/>
        <w:szCs w:val="22"/>
      </w:rPr>
    </w:lvl>
    <w:lvl w:ilvl="1" w:tplc="012C2E58">
      <w:start w:val="1"/>
      <w:numFmt w:val="lowerLetter"/>
      <w:lvlText w:val="%2."/>
      <w:lvlJc w:val="left"/>
      <w:pPr>
        <w:ind w:left="1180" w:hanging="360"/>
        <w:jc w:val="left"/>
      </w:pPr>
      <w:rPr>
        <w:rFonts w:ascii="Times New Roman" w:eastAsia="Times New Roman" w:hAnsi="Times New Roman" w:cs="Times New Roman" w:hint="default"/>
        <w:w w:val="100"/>
        <w:sz w:val="22"/>
        <w:szCs w:val="22"/>
      </w:rPr>
    </w:lvl>
    <w:lvl w:ilvl="2" w:tplc="5060D4CA">
      <w:start w:val="1"/>
      <w:numFmt w:val="lowerRoman"/>
      <w:lvlText w:val="%3."/>
      <w:lvlJc w:val="left"/>
      <w:pPr>
        <w:ind w:left="1900" w:hanging="296"/>
        <w:jc w:val="right"/>
      </w:pPr>
      <w:rPr>
        <w:rFonts w:ascii="Times New Roman" w:eastAsia="Times New Roman" w:hAnsi="Times New Roman" w:cs="Times New Roman" w:hint="default"/>
        <w:spacing w:val="0"/>
        <w:w w:val="100"/>
        <w:sz w:val="22"/>
        <w:szCs w:val="22"/>
      </w:rPr>
    </w:lvl>
    <w:lvl w:ilvl="3" w:tplc="D67019CE">
      <w:numFmt w:val="bullet"/>
      <w:lvlText w:val="•"/>
      <w:lvlJc w:val="left"/>
      <w:pPr>
        <w:ind w:left="2905" w:hanging="296"/>
      </w:pPr>
      <w:rPr>
        <w:rFonts w:hint="default"/>
      </w:rPr>
    </w:lvl>
    <w:lvl w:ilvl="4" w:tplc="770C7B1A">
      <w:numFmt w:val="bullet"/>
      <w:lvlText w:val="•"/>
      <w:lvlJc w:val="left"/>
      <w:pPr>
        <w:ind w:left="3910" w:hanging="296"/>
      </w:pPr>
      <w:rPr>
        <w:rFonts w:hint="default"/>
      </w:rPr>
    </w:lvl>
    <w:lvl w:ilvl="5" w:tplc="22F4524E">
      <w:numFmt w:val="bullet"/>
      <w:lvlText w:val="•"/>
      <w:lvlJc w:val="left"/>
      <w:pPr>
        <w:ind w:left="4915" w:hanging="296"/>
      </w:pPr>
      <w:rPr>
        <w:rFonts w:hint="default"/>
      </w:rPr>
    </w:lvl>
    <w:lvl w:ilvl="6" w:tplc="CDF6E192">
      <w:numFmt w:val="bullet"/>
      <w:lvlText w:val="•"/>
      <w:lvlJc w:val="left"/>
      <w:pPr>
        <w:ind w:left="5920" w:hanging="296"/>
      </w:pPr>
      <w:rPr>
        <w:rFonts w:hint="default"/>
      </w:rPr>
    </w:lvl>
    <w:lvl w:ilvl="7" w:tplc="2D4AF00A">
      <w:numFmt w:val="bullet"/>
      <w:lvlText w:val="•"/>
      <w:lvlJc w:val="left"/>
      <w:pPr>
        <w:ind w:left="6925" w:hanging="296"/>
      </w:pPr>
      <w:rPr>
        <w:rFonts w:hint="default"/>
      </w:rPr>
    </w:lvl>
    <w:lvl w:ilvl="8" w:tplc="4E6CF890">
      <w:numFmt w:val="bullet"/>
      <w:lvlText w:val="•"/>
      <w:lvlJc w:val="left"/>
      <w:pPr>
        <w:ind w:left="7930" w:hanging="296"/>
      </w:pPr>
      <w:rPr>
        <w:rFonts w:hint="default"/>
      </w:rPr>
    </w:lvl>
  </w:abstractNum>
  <w:abstractNum w:abstractNumId="36" w15:restartNumberingAfterBreak="0">
    <w:nsid w:val="52D20545"/>
    <w:multiLevelType w:val="hybridMultilevel"/>
    <w:tmpl w:val="9928FF56"/>
    <w:lvl w:ilvl="0" w:tplc="4D926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695287"/>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38" w15:restartNumberingAfterBreak="0">
    <w:nsid w:val="5AE604B1"/>
    <w:multiLevelType w:val="hybridMultilevel"/>
    <w:tmpl w:val="4934B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10548C9"/>
    <w:multiLevelType w:val="hybridMultilevel"/>
    <w:tmpl w:val="3954AE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2A46C90"/>
    <w:multiLevelType w:val="hybridMultilevel"/>
    <w:tmpl w:val="B850516C"/>
    <w:lvl w:ilvl="0" w:tplc="B2F610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32A1487"/>
    <w:multiLevelType w:val="hybridMultilevel"/>
    <w:tmpl w:val="B32AF7B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3">
      <w:start w:val="1"/>
      <w:numFmt w:val="bullet"/>
      <w:lvlText w:val="o"/>
      <w:lvlJc w:val="left"/>
      <w:pPr>
        <w:ind w:left="2880" w:hanging="360"/>
      </w:pPr>
      <w:rPr>
        <w:rFonts w:ascii="Courier New" w:hAnsi="Courier New" w:cs="Courier New"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4346F4B"/>
    <w:multiLevelType w:val="hybridMultilevel"/>
    <w:tmpl w:val="817E6466"/>
    <w:lvl w:ilvl="0" w:tplc="260E4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4E2097E"/>
    <w:multiLevelType w:val="hybridMultilevel"/>
    <w:tmpl w:val="F72ABB5A"/>
    <w:lvl w:ilvl="0" w:tplc="1C16DC6C">
      <w:start w:val="1"/>
      <w:numFmt w:val="upp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BB69E2"/>
    <w:multiLevelType w:val="hybridMultilevel"/>
    <w:tmpl w:val="9624555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6A2C6EE3"/>
    <w:multiLevelType w:val="hybridMultilevel"/>
    <w:tmpl w:val="861418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B9A3C66"/>
    <w:multiLevelType w:val="hybridMultilevel"/>
    <w:tmpl w:val="6720CF98"/>
    <w:lvl w:ilvl="0" w:tplc="1ABAD6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6E0D3DAC"/>
    <w:multiLevelType w:val="hybridMultilevel"/>
    <w:tmpl w:val="5422F8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F4214EA"/>
    <w:multiLevelType w:val="hybridMultilevel"/>
    <w:tmpl w:val="21D2D502"/>
    <w:lvl w:ilvl="0" w:tplc="FFFFFFFF">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1867028"/>
    <w:multiLevelType w:val="hybridMultilevel"/>
    <w:tmpl w:val="88DCE402"/>
    <w:lvl w:ilvl="0" w:tplc="400A3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724469F3"/>
    <w:multiLevelType w:val="hybridMultilevel"/>
    <w:tmpl w:val="E458C018"/>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724A559A"/>
    <w:multiLevelType w:val="hybridMultilevel"/>
    <w:tmpl w:val="C13EDC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472028E"/>
    <w:multiLevelType w:val="hybridMultilevel"/>
    <w:tmpl w:val="64A8035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74F479BE"/>
    <w:multiLevelType w:val="hybridMultilevel"/>
    <w:tmpl w:val="B420BB3C"/>
    <w:lvl w:ilvl="0" w:tplc="98B852EC">
      <w:start w:val="1"/>
      <w:numFmt w:val="upperLetter"/>
      <w:lvlText w:val="%1."/>
      <w:lvlJc w:val="left"/>
      <w:pPr>
        <w:ind w:left="2160" w:hanging="360"/>
      </w:pPr>
      <w:rPr>
        <w:rFonts w:ascii="Times New Roman" w:hAnsi="Times New Roman" w:cs="Times New Roman" w:hint="default"/>
        <w:b/>
        <w:i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66A12F2"/>
    <w:multiLevelType w:val="hybridMultilevel"/>
    <w:tmpl w:val="2E26F490"/>
    <w:lvl w:ilvl="0" w:tplc="D70C6BA2">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7932138"/>
    <w:multiLevelType w:val="hybridMultilevel"/>
    <w:tmpl w:val="790C4E34"/>
    <w:lvl w:ilvl="0" w:tplc="A7FA9F5E">
      <w:start w:val="1"/>
      <w:numFmt w:val="decimal"/>
      <w:lvlText w:val="%1."/>
      <w:lvlJc w:val="left"/>
      <w:pPr>
        <w:ind w:left="1080" w:hanging="360"/>
      </w:pPr>
      <w:rPr>
        <w:rFonts w:eastAsia="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779607E9"/>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57" w15:restartNumberingAfterBreak="0">
    <w:nsid w:val="78F105C1"/>
    <w:multiLevelType w:val="hybridMultilevel"/>
    <w:tmpl w:val="C21EB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3C493B"/>
    <w:multiLevelType w:val="hybridMultilevel"/>
    <w:tmpl w:val="1CEAAC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9" w15:restartNumberingAfterBreak="0">
    <w:nsid w:val="7B35788E"/>
    <w:multiLevelType w:val="hybridMultilevel"/>
    <w:tmpl w:val="DA905D18"/>
    <w:lvl w:ilvl="0" w:tplc="DC7E750C">
      <w:start w:val="1"/>
      <w:numFmt w:val="upperLetter"/>
      <w:suff w:val="space"/>
      <w:lvlText w:val="%1."/>
      <w:lvlJc w:val="left"/>
      <w:pPr>
        <w:ind w:left="468" w:hanging="360"/>
      </w:pPr>
      <w:rPr>
        <w:rFonts w:ascii="CG Times" w:eastAsia="Times New Roman" w:hAnsi="CG Times" w:hint="default"/>
        <w:b/>
      </w:rPr>
    </w:lvl>
    <w:lvl w:ilvl="1" w:tplc="04090019">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60" w15:restartNumberingAfterBreak="0">
    <w:nsid w:val="7C663192"/>
    <w:multiLevelType w:val="hybridMultilevel"/>
    <w:tmpl w:val="A956E312"/>
    <w:lvl w:ilvl="0" w:tplc="1DA24F2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7D963456"/>
    <w:multiLevelType w:val="multilevel"/>
    <w:tmpl w:val="A73881F8"/>
    <w:name w:val="zzmpInsReq||Ins Req|3|3|1|1|2|0||1|10|0||1|10|0||1|12|1||1|12|0||1|12|0||1|12|0||1|12|0||1|12|0||"/>
    <w:lvl w:ilvl="0">
      <w:start w:val="1"/>
      <w:numFmt w:val="upperLetter"/>
      <w:pStyle w:val="InsReqL1"/>
      <w:lvlText w:val="%1."/>
      <w:lvlJc w:val="left"/>
      <w:pPr>
        <w:tabs>
          <w:tab w:val="num" w:pos="720"/>
        </w:tabs>
        <w:ind w:left="720" w:hanging="720"/>
      </w:pPr>
      <w:rPr>
        <w:b w:val="0"/>
        <w:i w:val="0"/>
        <w:caps w:val="0"/>
        <w:u w:val="none"/>
      </w:rPr>
    </w:lvl>
    <w:lvl w:ilvl="1">
      <w:start w:val="1"/>
      <w:numFmt w:val="decimal"/>
      <w:pStyle w:val="InsReqL2"/>
      <w:lvlText w:val="(%2)"/>
      <w:lvlJc w:val="left"/>
      <w:pPr>
        <w:tabs>
          <w:tab w:val="num" w:pos="1440"/>
        </w:tabs>
        <w:ind w:left="1440" w:hanging="720"/>
      </w:pPr>
      <w:rPr>
        <w:b w:val="0"/>
        <w:i w:val="0"/>
        <w:caps w:val="0"/>
        <w:u w:val="none"/>
      </w:rPr>
    </w:lvl>
    <w:lvl w:ilvl="2">
      <w:start w:val="1"/>
      <w:numFmt w:val="lowerLetter"/>
      <w:pStyle w:val="InsReqL3"/>
      <w:lvlText w:val="(%3)"/>
      <w:lvlJc w:val="left"/>
      <w:pPr>
        <w:tabs>
          <w:tab w:val="num" w:pos="2160"/>
        </w:tabs>
        <w:ind w:left="2160" w:hanging="720"/>
      </w:pPr>
      <w:rPr>
        <w:b w:val="0"/>
        <w:i w:val="0"/>
        <w:caps w:val="0"/>
        <w:u w:val="none"/>
      </w:rPr>
    </w:lvl>
    <w:lvl w:ilvl="3">
      <w:start w:val="1"/>
      <w:numFmt w:val="decimal"/>
      <w:pStyle w:val="InsReqL4"/>
      <w:lvlText w:val="(%4)"/>
      <w:lvlJc w:val="left"/>
      <w:pPr>
        <w:tabs>
          <w:tab w:val="num" w:pos="2880"/>
        </w:tabs>
        <w:ind w:left="0" w:firstLine="2160"/>
      </w:pPr>
      <w:rPr>
        <w:b w:val="0"/>
        <w:i w:val="0"/>
        <w:caps w:val="0"/>
        <w:u w:val="none"/>
      </w:rPr>
    </w:lvl>
    <w:lvl w:ilvl="4">
      <w:start w:val="1"/>
      <w:numFmt w:val="lowerLetter"/>
      <w:pStyle w:val="InsReqL5"/>
      <w:lvlText w:val="%5."/>
      <w:lvlJc w:val="left"/>
      <w:pPr>
        <w:tabs>
          <w:tab w:val="num" w:pos="3600"/>
        </w:tabs>
        <w:ind w:left="0" w:firstLine="2880"/>
      </w:pPr>
      <w:rPr>
        <w:b w:val="0"/>
        <w:i w:val="0"/>
        <w:caps w:val="0"/>
        <w:u w:val="none"/>
      </w:rPr>
    </w:lvl>
    <w:lvl w:ilvl="5">
      <w:start w:val="1"/>
      <w:numFmt w:val="lowerRoman"/>
      <w:pStyle w:val="InsReqL6"/>
      <w:lvlText w:val="%6."/>
      <w:lvlJc w:val="left"/>
      <w:pPr>
        <w:tabs>
          <w:tab w:val="num" w:pos="4320"/>
        </w:tabs>
        <w:ind w:left="0" w:firstLine="3600"/>
      </w:pPr>
      <w:rPr>
        <w:b w:val="0"/>
        <w:i w:val="0"/>
        <w:caps w:val="0"/>
        <w:u w:val="none"/>
      </w:rPr>
    </w:lvl>
    <w:lvl w:ilvl="6">
      <w:start w:val="1"/>
      <w:numFmt w:val="decimal"/>
      <w:pStyle w:val="InsReqL7"/>
      <w:lvlText w:val="%7)"/>
      <w:lvlJc w:val="left"/>
      <w:pPr>
        <w:tabs>
          <w:tab w:val="num" w:pos="5040"/>
        </w:tabs>
        <w:ind w:left="0" w:firstLine="4320"/>
      </w:pPr>
      <w:rPr>
        <w:b w:val="0"/>
        <w:i w:val="0"/>
        <w:caps w:val="0"/>
        <w:u w:val="none"/>
      </w:rPr>
    </w:lvl>
    <w:lvl w:ilvl="7">
      <w:start w:val="1"/>
      <w:numFmt w:val="lowerLetter"/>
      <w:pStyle w:val="InsReqL8"/>
      <w:lvlText w:val="%8)"/>
      <w:lvlJc w:val="left"/>
      <w:pPr>
        <w:tabs>
          <w:tab w:val="num" w:pos="5760"/>
        </w:tabs>
        <w:ind w:left="0" w:firstLine="5040"/>
      </w:pPr>
      <w:rPr>
        <w:b w:val="0"/>
        <w:i w:val="0"/>
        <w:caps w:val="0"/>
        <w:u w:val="none"/>
      </w:rPr>
    </w:lvl>
    <w:lvl w:ilvl="8">
      <w:start w:val="1"/>
      <w:numFmt w:val="lowerRoman"/>
      <w:pStyle w:val="InsReqL9"/>
      <w:lvlText w:val="%9)"/>
      <w:lvlJc w:val="left"/>
      <w:pPr>
        <w:tabs>
          <w:tab w:val="num" w:pos="6480"/>
        </w:tabs>
        <w:ind w:left="0" w:firstLine="5760"/>
      </w:pPr>
      <w:rPr>
        <w:b w:val="0"/>
        <w:i w:val="0"/>
        <w:caps w:val="0"/>
        <w:u w:val="none"/>
      </w:rPr>
    </w:lvl>
  </w:abstractNum>
  <w:abstractNum w:abstractNumId="62" w15:restartNumberingAfterBreak="0">
    <w:nsid w:val="7E706571"/>
    <w:multiLevelType w:val="hybridMultilevel"/>
    <w:tmpl w:val="72F21344"/>
    <w:lvl w:ilvl="0" w:tplc="FFFFFFFF">
      <w:start w:val="1"/>
      <w:numFmt w:val="decimal"/>
      <w:lvlText w:val="%1."/>
      <w:lvlJc w:val="left"/>
      <w:pPr>
        <w:tabs>
          <w:tab w:val="num" w:pos="1440"/>
        </w:tabs>
        <w:ind w:left="1440" w:hanging="720"/>
      </w:pPr>
    </w:lvl>
    <w:lvl w:ilvl="1" w:tplc="FFFFFFFF">
      <w:start w:val="1"/>
      <w:numFmt w:val="upperLetter"/>
      <w:lvlText w:val="%2."/>
      <w:lvlJc w:val="left"/>
      <w:pPr>
        <w:tabs>
          <w:tab w:val="num" w:pos="1800"/>
        </w:tabs>
        <w:ind w:left="1800" w:hanging="360"/>
      </w:pPr>
    </w:lvl>
    <w:lvl w:ilvl="2" w:tplc="04090015">
      <w:start w:val="1"/>
      <w:numFmt w:val="upperLetter"/>
      <w:lvlText w:val="%3."/>
      <w:lvlJc w:val="left"/>
      <w:pPr>
        <w:tabs>
          <w:tab w:val="num" w:pos="2700"/>
        </w:tabs>
        <w:ind w:left="2700" w:hanging="360"/>
      </w:pPr>
    </w:lvl>
    <w:lvl w:ilvl="3" w:tplc="04090019">
      <w:start w:val="1"/>
      <w:numFmt w:val="lowerLetter"/>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63" w15:restartNumberingAfterBreak="0">
    <w:nsid w:val="7FFC4350"/>
    <w:multiLevelType w:val="hybridMultilevel"/>
    <w:tmpl w:val="68E82B8E"/>
    <w:lvl w:ilvl="0" w:tplc="BE6A9B3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6616283">
    <w:abstractNumId w:val="56"/>
  </w:num>
  <w:num w:numId="2" w16cid:durableId="1260211489">
    <w:abstractNumId w:val="22"/>
  </w:num>
  <w:num w:numId="3" w16cid:durableId="775439941">
    <w:abstractNumId w:val="18"/>
  </w:num>
  <w:num w:numId="4" w16cid:durableId="1489445400">
    <w:abstractNumId w:val="37"/>
  </w:num>
  <w:num w:numId="5" w16cid:durableId="229535246">
    <w:abstractNumId w:val="24"/>
  </w:num>
  <w:num w:numId="6" w16cid:durableId="1921258862">
    <w:abstractNumId w:val="34"/>
  </w:num>
  <w:num w:numId="7" w16cid:durableId="1493251611">
    <w:abstractNumId w:val="2"/>
  </w:num>
  <w:num w:numId="8" w16cid:durableId="597296457">
    <w:abstractNumId w:val="43"/>
  </w:num>
  <w:num w:numId="9" w16cid:durableId="421680154">
    <w:abstractNumId w:val="31"/>
  </w:num>
  <w:num w:numId="10" w16cid:durableId="1209949731">
    <w:abstractNumId w:val="59"/>
  </w:num>
  <w:num w:numId="11" w16cid:durableId="736901392">
    <w:abstractNumId w:val="47"/>
  </w:num>
  <w:num w:numId="12" w16cid:durableId="2142068702">
    <w:abstractNumId w:val="53"/>
  </w:num>
  <w:num w:numId="13" w16cid:durableId="1327437817">
    <w:abstractNumId w:val="45"/>
  </w:num>
  <w:num w:numId="14" w16cid:durableId="1290744676">
    <w:abstractNumId w:val="48"/>
  </w:num>
  <w:num w:numId="15" w16cid:durableId="1003580934">
    <w:abstractNumId w:val="30"/>
  </w:num>
  <w:num w:numId="16" w16cid:durableId="2134324619">
    <w:abstractNumId w:val="23"/>
  </w:num>
  <w:num w:numId="17" w16cid:durableId="2005039857">
    <w:abstractNumId w:val="51"/>
  </w:num>
  <w:num w:numId="18" w16cid:durableId="1333411032">
    <w:abstractNumId w:val="44"/>
  </w:num>
  <w:num w:numId="19" w16cid:durableId="2007323250">
    <w:abstractNumId w:val="17"/>
  </w:num>
  <w:num w:numId="20" w16cid:durableId="518352846">
    <w:abstractNumId w:val="55"/>
  </w:num>
  <w:num w:numId="21" w16cid:durableId="566501914">
    <w:abstractNumId w:val="15"/>
  </w:num>
  <w:num w:numId="22" w16cid:durableId="1940218435">
    <w:abstractNumId w:val="36"/>
  </w:num>
  <w:num w:numId="23" w16cid:durableId="1540891938">
    <w:abstractNumId w:val="32"/>
  </w:num>
  <w:num w:numId="24" w16cid:durableId="1711683303">
    <w:abstractNumId w:val="4"/>
  </w:num>
  <w:num w:numId="25" w16cid:durableId="1178423733">
    <w:abstractNumId w:val="9"/>
  </w:num>
  <w:num w:numId="26" w16cid:durableId="1455174502">
    <w:abstractNumId w:val="58"/>
  </w:num>
  <w:num w:numId="27" w16cid:durableId="553084801">
    <w:abstractNumId w:val="3"/>
  </w:num>
  <w:num w:numId="28" w16cid:durableId="385184449">
    <w:abstractNumId w:val="11"/>
  </w:num>
  <w:num w:numId="29" w16cid:durableId="1934169595">
    <w:abstractNumId w:val="29"/>
  </w:num>
  <w:num w:numId="30" w16cid:durableId="2028359500">
    <w:abstractNumId w:val="49"/>
  </w:num>
  <w:num w:numId="31" w16cid:durableId="320237442">
    <w:abstractNumId w:val="16"/>
  </w:num>
  <w:num w:numId="32" w16cid:durableId="666712478">
    <w:abstractNumId w:val="19"/>
  </w:num>
  <w:num w:numId="33" w16cid:durableId="1589541225">
    <w:abstractNumId w:val="46"/>
  </w:num>
  <w:num w:numId="34" w16cid:durableId="482281356">
    <w:abstractNumId w:val="42"/>
  </w:num>
  <w:num w:numId="35" w16cid:durableId="620846843">
    <w:abstractNumId w:val="6"/>
  </w:num>
  <w:num w:numId="36" w16cid:durableId="636299982">
    <w:abstractNumId w:val="60"/>
  </w:num>
  <w:num w:numId="37" w16cid:durableId="89160361">
    <w:abstractNumId w:val="12"/>
  </w:num>
  <w:num w:numId="38" w16cid:durableId="505218243">
    <w:abstractNumId w:val="26"/>
  </w:num>
  <w:num w:numId="39" w16cid:durableId="465197684">
    <w:abstractNumId w:val="20"/>
  </w:num>
  <w:num w:numId="40" w16cid:durableId="55445765">
    <w:abstractNumId w:val="61"/>
  </w:num>
  <w:num w:numId="41" w16cid:durableId="116412536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38893610">
    <w:abstractNumId w:val="21"/>
  </w:num>
  <w:num w:numId="43" w16cid:durableId="116141190">
    <w:abstractNumId w:val="27"/>
  </w:num>
  <w:num w:numId="44" w16cid:durableId="1876234618">
    <w:abstractNumId w:val="54"/>
  </w:num>
  <w:num w:numId="45" w16cid:durableId="603265678">
    <w:abstractNumId w:val="52"/>
  </w:num>
  <w:num w:numId="46" w16cid:durableId="769352816">
    <w:abstractNumId w:val="50"/>
  </w:num>
  <w:num w:numId="47" w16cid:durableId="120417227">
    <w:abstractNumId w:val="38"/>
  </w:num>
  <w:num w:numId="48" w16cid:durableId="1805733903">
    <w:abstractNumId w:val="5"/>
  </w:num>
  <w:num w:numId="49" w16cid:durableId="2064016485">
    <w:abstractNumId w:val="25"/>
  </w:num>
  <w:num w:numId="50" w16cid:durableId="630524605">
    <w:abstractNumId w:val="28"/>
  </w:num>
  <w:num w:numId="51" w16cid:durableId="2128230610">
    <w:abstractNumId w:val="62"/>
  </w:num>
  <w:num w:numId="52" w16cid:durableId="889192658">
    <w:abstractNumId w:val="10"/>
  </w:num>
  <w:num w:numId="53" w16cid:durableId="72702666">
    <w:abstractNumId w:val="8"/>
  </w:num>
  <w:num w:numId="54" w16cid:durableId="1554729801">
    <w:abstractNumId w:val="40"/>
  </w:num>
  <w:num w:numId="55" w16cid:durableId="1759058748">
    <w:abstractNumId w:val="41"/>
  </w:num>
  <w:num w:numId="56" w16cid:durableId="1029529486">
    <w:abstractNumId w:val="1"/>
  </w:num>
  <w:num w:numId="57" w16cid:durableId="1135292690">
    <w:abstractNumId w:val="14"/>
  </w:num>
  <w:num w:numId="58" w16cid:durableId="2050763445">
    <w:abstractNumId w:val="7"/>
  </w:num>
  <w:num w:numId="59" w16cid:durableId="969163239">
    <w:abstractNumId w:val="13"/>
  </w:num>
  <w:num w:numId="60" w16cid:durableId="1358578480">
    <w:abstractNumId w:val="63"/>
  </w:num>
  <w:num w:numId="61" w16cid:durableId="1897083262">
    <w:abstractNumId w:val="33"/>
  </w:num>
  <w:num w:numId="62" w16cid:durableId="1346709859">
    <w:abstractNumId w:val="57"/>
  </w:num>
  <w:num w:numId="63" w16cid:durableId="1822887116">
    <w:abstractNumId w:val="35"/>
  </w:num>
  <w:num w:numId="64" w16cid:durableId="1059549795">
    <w:abstractNumId w:val="3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011"/>
    <w:rsid w:val="00000570"/>
    <w:rsid w:val="00000571"/>
    <w:rsid w:val="00000AD7"/>
    <w:rsid w:val="00002222"/>
    <w:rsid w:val="00002AC6"/>
    <w:rsid w:val="00004655"/>
    <w:rsid w:val="0000512E"/>
    <w:rsid w:val="00005417"/>
    <w:rsid w:val="00006363"/>
    <w:rsid w:val="00007B81"/>
    <w:rsid w:val="000106E3"/>
    <w:rsid w:val="000113F8"/>
    <w:rsid w:val="000114F0"/>
    <w:rsid w:val="00011509"/>
    <w:rsid w:val="00012121"/>
    <w:rsid w:val="000139D7"/>
    <w:rsid w:val="00013D22"/>
    <w:rsid w:val="00014A5A"/>
    <w:rsid w:val="00015974"/>
    <w:rsid w:val="000172DA"/>
    <w:rsid w:val="00021485"/>
    <w:rsid w:val="00021A6E"/>
    <w:rsid w:val="00022236"/>
    <w:rsid w:val="00022886"/>
    <w:rsid w:val="00022912"/>
    <w:rsid w:val="00024146"/>
    <w:rsid w:val="000254DD"/>
    <w:rsid w:val="00025B95"/>
    <w:rsid w:val="00026D70"/>
    <w:rsid w:val="00027A56"/>
    <w:rsid w:val="000302E3"/>
    <w:rsid w:val="00030AD0"/>
    <w:rsid w:val="00032198"/>
    <w:rsid w:val="000322D9"/>
    <w:rsid w:val="0003287E"/>
    <w:rsid w:val="0003343A"/>
    <w:rsid w:val="00033D1D"/>
    <w:rsid w:val="00037551"/>
    <w:rsid w:val="0003757F"/>
    <w:rsid w:val="00040012"/>
    <w:rsid w:val="0004061C"/>
    <w:rsid w:val="00040E05"/>
    <w:rsid w:val="000414E5"/>
    <w:rsid w:val="00041E3A"/>
    <w:rsid w:val="00042487"/>
    <w:rsid w:val="000426AF"/>
    <w:rsid w:val="00043A26"/>
    <w:rsid w:val="00044934"/>
    <w:rsid w:val="00047461"/>
    <w:rsid w:val="00052BB9"/>
    <w:rsid w:val="00052E9A"/>
    <w:rsid w:val="000540B3"/>
    <w:rsid w:val="000542E2"/>
    <w:rsid w:val="00054C2A"/>
    <w:rsid w:val="00054D6D"/>
    <w:rsid w:val="00055451"/>
    <w:rsid w:val="0005599D"/>
    <w:rsid w:val="00056153"/>
    <w:rsid w:val="00056CD0"/>
    <w:rsid w:val="0006023C"/>
    <w:rsid w:val="00060664"/>
    <w:rsid w:val="00060A2D"/>
    <w:rsid w:val="00061E90"/>
    <w:rsid w:val="00062D65"/>
    <w:rsid w:val="00063561"/>
    <w:rsid w:val="000665B6"/>
    <w:rsid w:val="000673AE"/>
    <w:rsid w:val="00071DE9"/>
    <w:rsid w:val="00074443"/>
    <w:rsid w:val="00074EB5"/>
    <w:rsid w:val="00074F6A"/>
    <w:rsid w:val="00075857"/>
    <w:rsid w:val="00075DA9"/>
    <w:rsid w:val="00076220"/>
    <w:rsid w:val="00076969"/>
    <w:rsid w:val="00076A77"/>
    <w:rsid w:val="00076B0F"/>
    <w:rsid w:val="00076F4E"/>
    <w:rsid w:val="00077FE0"/>
    <w:rsid w:val="00080379"/>
    <w:rsid w:val="0008259C"/>
    <w:rsid w:val="00085E20"/>
    <w:rsid w:val="00085E99"/>
    <w:rsid w:val="000862CA"/>
    <w:rsid w:val="00086856"/>
    <w:rsid w:val="00087219"/>
    <w:rsid w:val="000913A7"/>
    <w:rsid w:val="00091401"/>
    <w:rsid w:val="00091AD0"/>
    <w:rsid w:val="00092029"/>
    <w:rsid w:val="00093279"/>
    <w:rsid w:val="000939BB"/>
    <w:rsid w:val="00093A61"/>
    <w:rsid w:val="000947CF"/>
    <w:rsid w:val="00095AF8"/>
    <w:rsid w:val="0009690E"/>
    <w:rsid w:val="000A003F"/>
    <w:rsid w:val="000A1965"/>
    <w:rsid w:val="000A1D53"/>
    <w:rsid w:val="000A2F81"/>
    <w:rsid w:val="000A307F"/>
    <w:rsid w:val="000A3CBF"/>
    <w:rsid w:val="000A4FF1"/>
    <w:rsid w:val="000A5644"/>
    <w:rsid w:val="000A6431"/>
    <w:rsid w:val="000A64E8"/>
    <w:rsid w:val="000A650E"/>
    <w:rsid w:val="000A6DE6"/>
    <w:rsid w:val="000A7A54"/>
    <w:rsid w:val="000A7B53"/>
    <w:rsid w:val="000B09AF"/>
    <w:rsid w:val="000B0AD2"/>
    <w:rsid w:val="000B1149"/>
    <w:rsid w:val="000B16E3"/>
    <w:rsid w:val="000B188D"/>
    <w:rsid w:val="000B1F28"/>
    <w:rsid w:val="000B25E2"/>
    <w:rsid w:val="000B27BF"/>
    <w:rsid w:val="000B2903"/>
    <w:rsid w:val="000B348A"/>
    <w:rsid w:val="000B3978"/>
    <w:rsid w:val="000B3A53"/>
    <w:rsid w:val="000B3E5E"/>
    <w:rsid w:val="000B41B7"/>
    <w:rsid w:val="000B5670"/>
    <w:rsid w:val="000B5B22"/>
    <w:rsid w:val="000B6D3C"/>
    <w:rsid w:val="000C1C15"/>
    <w:rsid w:val="000C21B7"/>
    <w:rsid w:val="000C2780"/>
    <w:rsid w:val="000C3D41"/>
    <w:rsid w:val="000C4462"/>
    <w:rsid w:val="000C5971"/>
    <w:rsid w:val="000C6958"/>
    <w:rsid w:val="000C6E9C"/>
    <w:rsid w:val="000C72D1"/>
    <w:rsid w:val="000C745D"/>
    <w:rsid w:val="000D1EA3"/>
    <w:rsid w:val="000D2EBE"/>
    <w:rsid w:val="000D30EB"/>
    <w:rsid w:val="000D43DF"/>
    <w:rsid w:val="000D456E"/>
    <w:rsid w:val="000D585A"/>
    <w:rsid w:val="000D5AD5"/>
    <w:rsid w:val="000D5D14"/>
    <w:rsid w:val="000D61CA"/>
    <w:rsid w:val="000D64C4"/>
    <w:rsid w:val="000D7B75"/>
    <w:rsid w:val="000E0483"/>
    <w:rsid w:val="000E232D"/>
    <w:rsid w:val="000E4823"/>
    <w:rsid w:val="000E5A77"/>
    <w:rsid w:val="000E6175"/>
    <w:rsid w:val="000E6562"/>
    <w:rsid w:val="000E6C34"/>
    <w:rsid w:val="000E7673"/>
    <w:rsid w:val="000E7982"/>
    <w:rsid w:val="000E7E39"/>
    <w:rsid w:val="000F0DE4"/>
    <w:rsid w:val="000F0FAB"/>
    <w:rsid w:val="000F106F"/>
    <w:rsid w:val="000F498C"/>
    <w:rsid w:val="000F5269"/>
    <w:rsid w:val="000F5640"/>
    <w:rsid w:val="000F5B57"/>
    <w:rsid w:val="000F6BDB"/>
    <w:rsid w:val="000F6D32"/>
    <w:rsid w:val="000F77FC"/>
    <w:rsid w:val="00100244"/>
    <w:rsid w:val="00101333"/>
    <w:rsid w:val="00101A0A"/>
    <w:rsid w:val="001031ED"/>
    <w:rsid w:val="00105D18"/>
    <w:rsid w:val="001064E3"/>
    <w:rsid w:val="001065ED"/>
    <w:rsid w:val="00107E87"/>
    <w:rsid w:val="001101F9"/>
    <w:rsid w:val="0011186A"/>
    <w:rsid w:val="00111906"/>
    <w:rsid w:val="001119DB"/>
    <w:rsid w:val="00112ACE"/>
    <w:rsid w:val="00113864"/>
    <w:rsid w:val="001155E3"/>
    <w:rsid w:val="001159F9"/>
    <w:rsid w:val="00117509"/>
    <w:rsid w:val="001178F0"/>
    <w:rsid w:val="00120073"/>
    <w:rsid w:val="00121E0A"/>
    <w:rsid w:val="00122553"/>
    <w:rsid w:val="00123612"/>
    <w:rsid w:val="00123B6A"/>
    <w:rsid w:val="00123E43"/>
    <w:rsid w:val="00123E8C"/>
    <w:rsid w:val="00124367"/>
    <w:rsid w:val="00124BDD"/>
    <w:rsid w:val="00125519"/>
    <w:rsid w:val="00125E8E"/>
    <w:rsid w:val="00126E07"/>
    <w:rsid w:val="001303B8"/>
    <w:rsid w:val="001332A0"/>
    <w:rsid w:val="00134281"/>
    <w:rsid w:val="00134DA1"/>
    <w:rsid w:val="001350B8"/>
    <w:rsid w:val="0013675D"/>
    <w:rsid w:val="00137FB4"/>
    <w:rsid w:val="001414C8"/>
    <w:rsid w:val="00141720"/>
    <w:rsid w:val="00141994"/>
    <w:rsid w:val="00141D94"/>
    <w:rsid w:val="00141DF4"/>
    <w:rsid w:val="001429B2"/>
    <w:rsid w:val="00143DD2"/>
    <w:rsid w:val="001455F2"/>
    <w:rsid w:val="00145718"/>
    <w:rsid w:val="00145C5C"/>
    <w:rsid w:val="00146433"/>
    <w:rsid w:val="00146795"/>
    <w:rsid w:val="00151369"/>
    <w:rsid w:val="00152095"/>
    <w:rsid w:val="0015264E"/>
    <w:rsid w:val="00153464"/>
    <w:rsid w:val="001539C0"/>
    <w:rsid w:val="00153E90"/>
    <w:rsid w:val="0015534B"/>
    <w:rsid w:val="001558DA"/>
    <w:rsid w:val="00155D50"/>
    <w:rsid w:val="001565D9"/>
    <w:rsid w:val="00157319"/>
    <w:rsid w:val="00157410"/>
    <w:rsid w:val="001605BF"/>
    <w:rsid w:val="001608C8"/>
    <w:rsid w:val="00160ED8"/>
    <w:rsid w:val="0016385A"/>
    <w:rsid w:val="00165110"/>
    <w:rsid w:val="00165835"/>
    <w:rsid w:val="0016688A"/>
    <w:rsid w:val="0016738C"/>
    <w:rsid w:val="00170807"/>
    <w:rsid w:val="001708A5"/>
    <w:rsid w:val="00170E07"/>
    <w:rsid w:val="00170F9A"/>
    <w:rsid w:val="0017189F"/>
    <w:rsid w:val="00171B8E"/>
    <w:rsid w:val="0017399E"/>
    <w:rsid w:val="00173AB7"/>
    <w:rsid w:val="0017515E"/>
    <w:rsid w:val="00175BA0"/>
    <w:rsid w:val="001802F9"/>
    <w:rsid w:val="00181491"/>
    <w:rsid w:val="001819C0"/>
    <w:rsid w:val="00182B2D"/>
    <w:rsid w:val="0018378D"/>
    <w:rsid w:val="001859B8"/>
    <w:rsid w:val="00186F89"/>
    <w:rsid w:val="001923D3"/>
    <w:rsid w:val="0019313B"/>
    <w:rsid w:val="00193211"/>
    <w:rsid w:val="00193311"/>
    <w:rsid w:val="001944A5"/>
    <w:rsid w:val="00195432"/>
    <w:rsid w:val="00197144"/>
    <w:rsid w:val="001A04E8"/>
    <w:rsid w:val="001A0A01"/>
    <w:rsid w:val="001A0D50"/>
    <w:rsid w:val="001A2223"/>
    <w:rsid w:val="001A2535"/>
    <w:rsid w:val="001A27FA"/>
    <w:rsid w:val="001A3484"/>
    <w:rsid w:val="001A3CAF"/>
    <w:rsid w:val="001A4538"/>
    <w:rsid w:val="001A6AC1"/>
    <w:rsid w:val="001A7142"/>
    <w:rsid w:val="001A7FD0"/>
    <w:rsid w:val="001B0054"/>
    <w:rsid w:val="001B14CA"/>
    <w:rsid w:val="001B1AC9"/>
    <w:rsid w:val="001B1D07"/>
    <w:rsid w:val="001B2662"/>
    <w:rsid w:val="001B3410"/>
    <w:rsid w:val="001B4F69"/>
    <w:rsid w:val="001B59E5"/>
    <w:rsid w:val="001B5F06"/>
    <w:rsid w:val="001B770B"/>
    <w:rsid w:val="001B7CB8"/>
    <w:rsid w:val="001B7E3B"/>
    <w:rsid w:val="001C0489"/>
    <w:rsid w:val="001C09EE"/>
    <w:rsid w:val="001C1A05"/>
    <w:rsid w:val="001C3160"/>
    <w:rsid w:val="001C3652"/>
    <w:rsid w:val="001C4CF1"/>
    <w:rsid w:val="001C5C40"/>
    <w:rsid w:val="001D082F"/>
    <w:rsid w:val="001D1D85"/>
    <w:rsid w:val="001D341E"/>
    <w:rsid w:val="001D478F"/>
    <w:rsid w:val="001D5AEA"/>
    <w:rsid w:val="001E1C9F"/>
    <w:rsid w:val="001E347C"/>
    <w:rsid w:val="001E3EAC"/>
    <w:rsid w:val="001E50FA"/>
    <w:rsid w:val="001E7169"/>
    <w:rsid w:val="001F05A9"/>
    <w:rsid w:val="001F119C"/>
    <w:rsid w:val="001F1DD6"/>
    <w:rsid w:val="001F2495"/>
    <w:rsid w:val="001F2CEE"/>
    <w:rsid w:val="001F35D2"/>
    <w:rsid w:val="001F3CED"/>
    <w:rsid w:val="001F3FA8"/>
    <w:rsid w:val="001F5914"/>
    <w:rsid w:val="001F5EA3"/>
    <w:rsid w:val="001F7E2C"/>
    <w:rsid w:val="00200AAA"/>
    <w:rsid w:val="00203EBE"/>
    <w:rsid w:val="00204878"/>
    <w:rsid w:val="0020517F"/>
    <w:rsid w:val="00205ED9"/>
    <w:rsid w:val="00206D82"/>
    <w:rsid w:val="00207AA1"/>
    <w:rsid w:val="0021071D"/>
    <w:rsid w:val="0021261D"/>
    <w:rsid w:val="00213865"/>
    <w:rsid w:val="00214BA9"/>
    <w:rsid w:val="002156DE"/>
    <w:rsid w:val="00215A4F"/>
    <w:rsid w:val="00215E7B"/>
    <w:rsid w:val="00220087"/>
    <w:rsid w:val="002201DF"/>
    <w:rsid w:val="00221454"/>
    <w:rsid w:val="00221C93"/>
    <w:rsid w:val="00222B0F"/>
    <w:rsid w:val="002232E7"/>
    <w:rsid w:val="00223D53"/>
    <w:rsid w:val="00225308"/>
    <w:rsid w:val="0022534E"/>
    <w:rsid w:val="00226291"/>
    <w:rsid w:val="00226385"/>
    <w:rsid w:val="0022638C"/>
    <w:rsid w:val="00226B6D"/>
    <w:rsid w:val="00230236"/>
    <w:rsid w:val="00231F0A"/>
    <w:rsid w:val="002325ED"/>
    <w:rsid w:val="002329B4"/>
    <w:rsid w:val="00232CB4"/>
    <w:rsid w:val="002345AE"/>
    <w:rsid w:val="002347A0"/>
    <w:rsid w:val="00234A13"/>
    <w:rsid w:val="002358A2"/>
    <w:rsid w:val="0023613E"/>
    <w:rsid w:val="002362BE"/>
    <w:rsid w:val="00236B2A"/>
    <w:rsid w:val="002374E6"/>
    <w:rsid w:val="0023785A"/>
    <w:rsid w:val="00237E12"/>
    <w:rsid w:val="00237EE1"/>
    <w:rsid w:val="00240693"/>
    <w:rsid w:val="00243C71"/>
    <w:rsid w:val="00244305"/>
    <w:rsid w:val="00244B7A"/>
    <w:rsid w:val="00244ED8"/>
    <w:rsid w:val="00245555"/>
    <w:rsid w:val="0024571E"/>
    <w:rsid w:val="002462E3"/>
    <w:rsid w:val="00246EB8"/>
    <w:rsid w:val="00247BBB"/>
    <w:rsid w:val="002505A5"/>
    <w:rsid w:val="00250CBE"/>
    <w:rsid w:val="00252D1A"/>
    <w:rsid w:val="00253637"/>
    <w:rsid w:val="00253BFD"/>
    <w:rsid w:val="00253E1D"/>
    <w:rsid w:val="002544D6"/>
    <w:rsid w:val="0025480C"/>
    <w:rsid w:val="00254960"/>
    <w:rsid w:val="00255711"/>
    <w:rsid w:val="00256A79"/>
    <w:rsid w:val="0025765E"/>
    <w:rsid w:val="00257E54"/>
    <w:rsid w:val="00257FDF"/>
    <w:rsid w:val="002603FC"/>
    <w:rsid w:val="0026101F"/>
    <w:rsid w:val="0026189B"/>
    <w:rsid w:val="00261D40"/>
    <w:rsid w:val="00263C87"/>
    <w:rsid w:val="0026483A"/>
    <w:rsid w:val="0026558B"/>
    <w:rsid w:val="00265D28"/>
    <w:rsid w:val="00265E5A"/>
    <w:rsid w:val="00267147"/>
    <w:rsid w:val="0027069B"/>
    <w:rsid w:val="00270897"/>
    <w:rsid w:val="00270D4F"/>
    <w:rsid w:val="0027105C"/>
    <w:rsid w:val="00271B14"/>
    <w:rsid w:val="002746C9"/>
    <w:rsid w:val="0027587D"/>
    <w:rsid w:val="0027601B"/>
    <w:rsid w:val="002765D4"/>
    <w:rsid w:val="002768D1"/>
    <w:rsid w:val="00276C82"/>
    <w:rsid w:val="00277452"/>
    <w:rsid w:val="002804A1"/>
    <w:rsid w:val="00282F39"/>
    <w:rsid w:val="002831F5"/>
    <w:rsid w:val="002835C0"/>
    <w:rsid w:val="00283778"/>
    <w:rsid w:val="00284402"/>
    <w:rsid w:val="00285817"/>
    <w:rsid w:val="002859D2"/>
    <w:rsid w:val="00290131"/>
    <w:rsid w:val="00290402"/>
    <w:rsid w:val="00292068"/>
    <w:rsid w:val="00294004"/>
    <w:rsid w:val="00294E17"/>
    <w:rsid w:val="0029662A"/>
    <w:rsid w:val="00296768"/>
    <w:rsid w:val="00296E6C"/>
    <w:rsid w:val="00297834"/>
    <w:rsid w:val="002979A9"/>
    <w:rsid w:val="002A0336"/>
    <w:rsid w:val="002A0447"/>
    <w:rsid w:val="002A059D"/>
    <w:rsid w:val="002A1E08"/>
    <w:rsid w:val="002A42CB"/>
    <w:rsid w:val="002A6EA8"/>
    <w:rsid w:val="002B0EAC"/>
    <w:rsid w:val="002B1D3F"/>
    <w:rsid w:val="002B327D"/>
    <w:rsid w:val="002B37FC"/>
    <w:rsid w:val="002B5B54"/>
    <w:rsid w:val="002B5DA1"/>
    <w:rsid w:val="002B66A9"/>
    <w:rsid w:val="002C02D6"/>
    <w:rsid w:val="002C1E10"/>
    <w:rsid w:val="002C334E"/>
    <w:rsid w:val="002C3FE7"/>
    <w:rsid w:val="002C42B8"/>
    <w:rsid w:val="002C4F10"/>
    <w:rsid w:val="002C58C4"/>
    <w:rsid w:val="002C59FC"/>
    <w:rsid w:val="002C5C87"/>
    <w:rsid w:val="002C66F0"/>
    <w:rsid w:val="002C7319"/>
    <w:rsid w:val="002D01AF"/>
    <w:rsid w:val="002D07FD"/>
    <w:rsid w:val="002D09CD"/>
    <w:rsid w:val="002D0BFE"/>
    <w:rsid w:val="002D0FAE"/>
    <w:rsid w:val="002D5148"/>
    <w:rsid w:val="002D6F81"/>
    <w:rsid w:val="002E0AA5"/>
    <w:rsid w:val="002E0E69"/>
    <w:rsid w:val="002E166F"/>
    <w:rsid w:val="002E2966"/>
    <w:rsid w:val="002E2B7C"/>
    <w:rsid w:val="002E32B4"/>
    <w:rsid w:val="002E3ACF"/>
    <w:rsid w:val="002E4265"/>
    <w:rsid w:val="002E48CF"/>
    <w:rsid w:val="002E4D6F"/>
    <w:rsid w:val="002E6BD2"/>
    <w:rsid w:val="002F00BB"/>
    <w:rsid w:val="002F0535"/>
    <w:rsid w:val="002F0DA1"/>
    <w:rsid w:val="002F1896"/>
    <w:rsid w:val="002F27ED"/>
    <w:rsid w:val="002F37AF"/>
    <w:rsid w:val="002F4DD0"/>
    <w:rsid w:val="002F59FC"/>
    <w:rsid w:val="002F5DF5"/>
    <w:rsid w:val="002F678C"/>
    <w:rsid w:val="002F71D3"/>
    <w:rsid w:val="002F73E1"/>
    <w:rsid w:val="00300A47"/>
    <w:rsid w:val="00301BD2"/>
    <w:rsid w:val="00301C4E"/>
    <w:rsid w:val="00301D81"/>
    <w:rsid w:val="00302AF9"/>
    <w:rsid w:val="003035E1"/>
    <w:rsid w:val="00303F83"/>
    <w:rsid w:val="003040AC"/>
    <w:rsid w:val="00304F5D"/>
    <w:rsid w:val="003055BF"/>
    <w:rsid w:val="00305FBB"/>
    <w:rsid w:val="00307229"/>
    <w:rsid w:val="00311104"/>
    <w:rsid w:val="00311539"/>
    <w:rsid w:val="0031179E"/>
    <w:rsid w:val="00312651"/>
    <w:rsid w:val="00312665"/>
    <w:rsid w:val="0031273A"/>
    <w:rsid w:val="00312D2E"/>
    <w:rsid w:val="00312D9A"/>
    <w:rsid w:val="00313E31"/>
    <w:rsid w:val="00314F47"/>
    <w:rsid w:val="00321859"/>
    <w:rsid w:val="00323135"/>
    <w:rsid w:val="003236C4"/>
    <w:rsid w:val="003247DB"/>
    <w:rsid w:val="00324946"/>
    <w:rsid w:val="0032537A"/>
    <w:rsid w:val="00325852"/>
    <w:rsid w:val="00326C97"/>
    <w:rsid w:val="0032722B"/>
    <w:rsid w:val="003302EE"/>
    <w:rsid w:val="003318ED"/>
    <w:rsid w:val="00333395"/>
    <w:rsid w:val="00333624"/>
    <w:rsid w:val="00334BC7"/>
    <w:rsid w:val="00335091"/>
    <w:rsid w:val="00335175"/>
    <w:rsid w:val="00335CDA"/>
    <w:rsid w:val="00335D80"/>
    <w:rsid w:val="00336750"/>
    <w:rsid w:val="003371BA"/>
    <w:rsid w:val="00337228"/>
    <w:rsid w:val="00337394"/>
    <w:rsid w:val="003405ED"/>
    <w:rsid w:val="003425A5"/>
    <w:rsid w:val="00342AD1"/>
    <w:rsid w:val="00342E93"/>
    <w:rsid w:val="00343126"/>
    <w:rsid w:val="003454D6"/>
    <w:rsid w:val="003473F0"/>
    <w:rsid w:val="003474AA"/>
    <w:rsid w:val="0035064E"/>
    <w:rsid w:val="00350A8A"/>
    <w:rsid w:val="00350DFE"/>
    <w:rsid w:val="00351437"/>
    <w:rsid w:val="00352252"/>
    <w:rsid w:val="003533A9"/>
    <w:rsid w:val="0035453D"/>
    <w:rsid w:val="0035567F"/>
    <w:rsid w:val="00356FED"/>
    <w:rsid w:val="0035704F"/>
    <w:rsid w:val="00360799"/>
    <w:rsid w:val="00360F3A"/>
    <w:rsid w:val="003624BC"/>
    <w:rsid w:val="00362AA6"/>
    <w:rsid w:val="00362FB6"/>
    <w:rsid w:val="00363949"/>
    <w:rsid w:val="003642DE"/>
    <w:rsid w:val="003644BF"/>
    <w:rsid w:val="00364DF0"/>
    <w:rsid w:val="003666DC"/>
    <w:rsid w:val="0036716B"/>
    <w:rsid w:val="00367536"/>
    <w:rsid w:val="0037029D"/>
    <w:rsid w:val="00371A52"/>
    <w:rsid w:val="0037369C"/>
    <w:rsid w:val="00373966"/>
    <w:rsid w:val="00373D4D"/>
    <w:rsid w:val="0037704D"/>
    <w:rsid w:val="003808C6"/>
    <w:rsid w:val="00380A75"/>
    <w:rsid w:val="003814BE"/>
    <w:rsid w:val="0038167A"/>
    <w:rsid w:val="00381940"/>
    <w:rsid w:val="00381E55"/>
    <w:rsid w:val="00382A49"/>
    <w:rsid w:val="0038362E"/>
    <w:rsid w:val="0038405B"/>
    <w:rsid w:val="003847FF"/>
    <w:rsid w:val="00384DBD"/>
    <w:rsid w:val="003854A1"/>
    <w:rsid w:val="0038560D"/>
    <w:rsid w:val="00385AF1"/>
    <w:rsid w:val="0038644D"/>
    <w:rsid w:val="00387648"/>
    <w:rsid w:val="00392602"/>
    <w:rsid w:val="00393111"/>
    <w:rsid w:val="00394580"/>
    <w:rsid w:val="003967BA"/>
    <w:rsid w:val="003A15A9"/>
    <w:rsid w:val="003A1FC0"/>
    <w:rsid w:val="003A20DD"/>
    <w:rsid w:val="003A310E"/>
    <w:rsid w:val="003A3535"/>
    <w:rsid w:val="003A4418"/>
    <w:rsid w:val="003A46F1"/>
    <w:rsid w:val="003A5AB7"/>
    <w:rsid w:val="003A6F2C"/>
    <w:rsid w:val="003A7347"/>
    <w:rsid w:val="003B029D"/>
    <w:rsid w:val="003B0CEF"/>
    <w:rsid w:val="003B235A"/>
    <w:rsid w:val="003B4A63"/>
    <w:rsid w:val="003B4F69"/>
    <w:rsid w:val="003B508B"/>
    <w:rsid w:val="003B6FA6"/>
    <w:rsid w:val="003C1A71"/>
    <w:rsid w:val="003C1C5B"/>
    <w:rsid w:val="003C2290"/>
    <w:rsid w:val="003C23EE"/>
    <w:rsid w:val="003C35BD"/>
    <w:rsid w:val="003C45BB"/>
    <w:rsid w:val="003C4715"/>
    <w:rsid w:val="003C4CE4"/>
    <w:rsid w:val="003C5571"/>
    <w:rsid w:val="003C5B31"/>
    <w:rsid w:val="003C6574"/>
    <w:rsid w:val="003C679D"/>
    <w:rsid w:val="003C684D"/>
    <w:rsid w:val="003C7BFB"/>
    <w:rsid w:val="003D0B3C"/>
    <w:rsid w:val="003D1258"/>
    <w:rsid w:val="003D39A4"/>
    <w:rsid w:val="003D4071"/>
    <w:rsid w:val="003D45F8"/>
    <w:rsid w:val="003D58CF"/>
    <w:rsid w:val="003D5923"/>
    <w:rsid w:val="003D5F29"/>
    <w:rsid w:val="003D6C91"/>
    <w:rsid w:val="003E026C"/>
    <w:rsid w:val="003E0F6D"/>
    <w:rsid w:val="003E2110"/>
    <w:rsid w:val="003E3895"/>
    <w:rsid w:val="003E3A3D"/>
    <w:rsid w:val="003E4373"/>
    <w:rsid w:val="003E4960"/>
    <w:rsid w:val="003E5B39"/>
    <w:rsid w:val="003E70FD"/>
    <w:rsid w:val="003F02C0"/>
    <w:rsid w:val="003F0C64"/>
    <w:rsid w:val="003F0E63"/>
    <w:rsid w:val="003F10BA"/>
    <w:rsid w:val="003F13E1"/>
    <w:rsid w:val="003F141D"/>
    <w:rsid w:val="003F199E"/>
    <w:rsid w:val="003F2D5B"/>
    <w:rsid w:val="003F3874"/>
    <w:rsid w:val="003F44F8"/>
    <w:rsid w:val="003F79F1"/>
    <w:rsid w:val="004020F7"/>
    <w:rsid w:val="00403484"/>
    <w:rsid w:val="0040432F"/>
    <w:rsid w:val="00404C1B"/>
    <w:rsid w:val="00405813"/>
    <w:rsid w:val="004063BB"/>
    <w:rsid w:val="004069AE"/>
    <w:rsid w:val="004069EC"/>
    <w:rsid w:val="00406D31"/>
    <w:rsid w:val="004105A9"/>
    <w:rsid w:val="004106A1"/>
    <w:rsid w:val="004109A0"/>
    <w:rsid w:val="00411A60"/>
    <w:rsid w:val="00411BAA"/>
    <w:rsid w:val="00412181"/>
    <w:rsid w:val="004137CD"/>
    <w:rsid w:val="00413C21"/>
    <w:rsid w:val="004149AC"/>
    <w:rsid w:val="00417F17"/>
    <w:rsid w:val="00421093"/>
    <w:rsid w:val="004217C4"/>
    <w:rsid w:val="0042297A"/>
    <w:rsid w:val="00423300"/>
    <w:rsid w:val="004237C1"/>
    <w:rsid w:val="00424953"/>
    <w:rsid w:val="00425665"/>
    <w:rsid w:val="00425CDA"/>
    <w:rsid w:val="00425FE9"/>
    <w:rsid w:val="00426E78"/>
    <w:rsid w:val="0042740B"/>
    <w:rsid w:val="004275AB"/>
    <w:rsid w:val="00431684"/>
    <w:rsid w:val="004317D8"/>
    <w:rsid w:val="00431F9C"/>
    <w:rsid w:val="004324FB"/>
    <w:rsid w:val="00432CD9"/>
    <w:rsid w:val="00433DCE"/>
    <w:rsid w:val="00434C1E"/>
    <w:rsid w:val="0043576A"/>
    <w:rsid w:val="00435A50"/>
    <w:rsid w:val="00435DA1"/>
    <w:rsid w:val="004364E2"/>
    <w:rsid w:val="00436A6A"/>
    <w:rsid w:val="00437730"/>
    <w:rsid w:val="0044058C"/>
    <w:rsid w:val="00440CD4"/>
    <w:rsid w:val="00440D7E"/>
    <w:rsid w:val="004412BE"/>
    <w:rsid w:val="00441A77"/>
    <w:rsid w:val="00441E0A"/>
    <w:rsid w:val="004425BA"/>
    <w:rsid w:val="0044370E"/>
    <w:rsid w:val="00443F9C"/>
    <w:rsid w:val="0044520E"/>
    <w:rsid w:val="00445B5E"/>
    <w:rsid w:val="00445D5E"/>
    <w:rsid w:val="00446686"/>
    <w:rsid w:val="0044672F"/>
    <w:rsid w:val="00446E23"/>
    <w:rsid w:val="0044787A"/>
    <w:rsid w:val="00450050"/>
    <w:rsid w:val="004505BD"/>
    <w:rsid w:val="00450A16"/>
    <w:rsid w:val="004511EB"/>
    <w:rsid w:val="00451435"/>
    <w:rsid w:val="004518B0"/>
    <w:rsid w:val="004523FC"/>
    <w:rsid w:val="004526B5"/>
    <w:rsid w:val="00452FD1"/>
    <w:rsid w:val="004534C7"/>
    <w:rsid w:val="004557BA"/>
    <w:rsid w:val="004560A5"/>
    <w:rsid w:val="004571FF"/>
    <w:rsid w:val="004574BA"/>
    <w:rsid w:val="004601DB"/>
    <w:rsid w:val="004606F8"/>
    <w:rsid w:val="00465AA6"/>
    <w:rsid w:val="00470013"/>
    <w:rsid w:val="004701D8"/>
    <w:rsid w:val="0047093A"/>
    <w:rsid w:val="0047115D"/>
    <w:rsid w:val="0047200B"/>
    <w:rsid w:val="004725D1"/>
    <w:rsid w:val="00473056"/>
    <w:rsid w:val="00473D98"/>
    <w:rsid w:val="00474294"/>
    <w:rsid w:val="004746C8"/>
    <w:rsid w:val="00474DC8"/>
    <w:rsid w:val="00477BB9"/>
    <w:rsid w:val="00481048"/>
    <w:rsid w:val="00482598"/>
    <w:rsid w:val="0048484C"/>
    <w:rsid w:val="00485C28"/>
    <w:rsid w:val="0048783E"/>
    <w:rsid w:val="004905EA"/>
    <w:rsid w:val="004906E2"/>
    <w:rsid w:val="00490C78"/>
    <w:rsid w:val="004929B5"/>
    <w:rsid w:val="00493B3F"/>
    <w:rsid w:val="004949ED"/>
    <w:rsid w:val="0049543A"/>
    <w:rsid w:val="00495B36"/>
    <w:rsid w:val="004966FE"/>
    <w:rsid w:val="00496E6F"/>
    <w:rsid w:val="00496E89"/>
    <w:rsid w:val="004977E9"/>
    <w:rsid w:val="004A016E"/>
    <w:rsid w:val="004A165F"/>
    <w:rsid w:val="004A2A1E"/>
    <w:rsid w:val="004A41D3"/>
    <w:rsid w:val="004A615E"/>
    <w:rsid w:val="004A6DBF"/>
    <w:rsid w:val="004B08CA"/>
    <w:rsid w:val="004B0E6D"/>
    <w:rsid w:val="004B10ED"/>
    <w:rsid w:val="004B461F"/>
    <w:rsid w:val="004B5C24"/>
    <w:rsid w:val="004B6593"/>
    <w:rsid w:val="004B67DD"/>
    <w:rsid w:val="004B703F"/>
    <w:rsid w:val="004B7324"/>
    <w:rsid w:val="004B784F"/>
    <w:rsid w:val="004C0EFC"/>
    <w:rsid w:val="004C361D"/>
    <w:rsid w:val="004C4348"/>
    <w:rsid w:val="004C4E78"/>
    <w:rsid w:val="004D006B"/>
    <w:rsid w:val="004D220C"/>
    <w:rsid w:val="004D3500"/>
    <w:rsid w:val="004D6371"/>
    <w:rsid w:val="004D6443"/>
    <w:rsid w:val="004E0322"/>
    <w:rsid w:val="004E063B"/>
    <w:rsid w:val="004E0CED"/>
    <w:rsid w:val="004E0E8D"/>
    <w:rsid w:val="004E2885"/>
    <w:rsid w:val="004E3D76"/>
    <w:rsid w:val="004E635D"/>
    <w:rsid w:val="004E6A7A"/>
    <w:rsid w:val="004F0F27"/>
    <w:rsid w:val="004F2AEA"/>
    <w:rsid w:val="004F2BF4"/>
    <w:rsid w:val="004F3D9D"/>
    <w:rsid w:val="004F49FD"/>
    <w:rsid w:val="004F4B4A"/>
    <w:rsid w:val="004F4B4C"/>
    <w:rsid w:val="004F4EEC"/>
    <w:rsid w:val="004F50F3"/>
    <w:rsid w:val="004F7236"/>
    <w:rsid w:val="004F749A"/>
    <w:rsid w:val="005006F8"/>
    <w:rsid w:val="00500DB1"/>
    <w:rsid w:val="00502BF6"/>
    <w:rsid w:val="0050342F"/>
    <w:rsid w:val="00506168"/>
    <w:rsid w:val="00507A5C"/>
    <w:rsid w:val="00507E59"/>
    <w:rsid w:val="0051246B"/>
    <w:rsid w:val="005146F3"/>
    <w:rsid w:val="00517998"/>
    <w:rsid w:val="005207B1"/>
    <w:rsid w:val="00520DFC"/>
    <w:rsid w:val="005215E6"/>
    <w:rsid w:val="00522711"/>
    <w:rsid w:val="005261BF"/>
    <w:rsid w:val="0052631D"/>
    <w:rsid w:val="00527609"/>
    <w:rsid w:val="00527862"/>
    <w:rsid w:val="00527EC1"/>
    <w:rsid w:val="00530A64"/>
    <w:rsid w:val="00531C3B"/>
    <w:rsid w:val="00534EED"/>
    <w:rsid w:val="005363F6"/>
    <w:rsid w:val="00536556"/>
    <w:rsid w:val="005365C9"/>
    <w:rsid w:val="005365FB"/>
    <w:rsid w:val="005375FF"/>
    <w:rsid w:val="005378A8"/>
    <w:rsid w:val="00537CC7"/>
    <w:rsid w:val="005408E8"/>
    <w:rsid w:val="0054096A"/>
    <w:rsid w:val="00545E2C"/>
    <w:rsid w:val="005464E4"/>
    <w:rsid w:val="00546CEF"/>
    <w:rsid w:val="005475B7"/>
    <w:rsid w:val="00550689"/>
    <w:rsid w:val="00552117"/>
    <w:rsid w:val="0055255E"/>
    <w:rsid w:val="005543AD"/>
    <w:rsid w:val="005553D0"/>
    <w:rsid w:val="00556289"/>
    <w:rsid w:val="0055755B"/>
    <w:rsid w:val="0056151F"/>
    <w:rsid w:val="00561A81"/>
    <w:rsid w:val="00561CF2"/>
    <w:rsid w:val="00561EF2"/>
    <w:rsid w:val="0056283F"/>
    <w:rsid w:val="00564B1D"/>
    <w:rsid w:val="005656F7"/>
    <w:rsid w:val="00566028"/>
    <w:rsid w:val="005662F3"/>
    <w:rsid w:val="005701E8"/>
    <w:rsid w:val="005703E3"/>
    <w:rsid w:val="00573CA6"/>
    <w:rsid w:val="00574D41"/>
    <w:rsid w:val="00575E84"/>
    <w:rsid w:val="005760E2"/>
    <w:rsid w:val="005806AF"/>
    <w:rsid w:val="00581AC3"/>
    <w:rsid w:val="00584320"/>
    <w:rsid w:val="00584D03"/>
    <w:rsid w:val="00586146"/>
    <w:rsid w:val="0058666A"/>
    <w:rsid w:val="00587B88"/>
    <w:rsid w:val="00587C12"/>
    <w:rsid w:val="0059004B"/>
    <w:rsid w:val="00592E1A"/>
    <w:rsid w:val="00593D2C"/>
    <w:rsid w:val="00594FC9"/>
    <w:rsid w:val="00595A2A"/>
    <w:rsid w:val="00595DD4"/>
    <w:rsid w:val="00595DE9"/>
    <w:rsid w:val="00596192"/>
    <w:rsid w:val="0059663E"/>
    <w:rsid w:val="0059666C"/>
    <w:rsid w:val="00597C0E"/>
    <w:rsid w:val="005A09F1"/>
    <w:rsid w:val="005A0D52"/>
    <w:rsid w:val="005A14A3"/>
    <w:rsid w:val="005A36A6"/>
    <w:rsid w:val="005A3F44"/>
    <w:rsid w:val="005A40C7"/>
    <w:rsid w:val="005A49F8"/>
    <w:rsid w:val="005A5872"/>
    <w:rsid w:val="005A643A"/>
    <w:rsid w:val="005A7EE5"/>
    <w:rsid w:val="005B0895"/>
    <w:rsid w:val="005B155B"/>
    <w:rsid w:val="005B18C8"/>
    <w:rsid w:val="005B1932"/>
    <w:rsid w:val="005B1B10"/>
    <w:rsid w:val="005B24B3"/>
    <w:rsid w:val="005B251B"/>
    <w:rsid w:val="005B2D15"/>
    <w:rsid w:val="005B3176"/>
    <w:rsid w:val="005B48B1"/>
    <w:rsid w:val="005B60CF"/>
    <w:rsid w:val="005B757A"/>
    <w:rsid w:val="005B7A7C"/>
    <w:rsid w:val="005B7BB3"/>
    <w:rsid w:val="005B7E6F"/>
    <w:rsid w:val="005C0482"/>
    <w:rsid w:val="005C21F8"/>
    <w:rsid w:val="005C2E34"/>
    <w:rsid w:val="005C3A86"/>
    <w:rsid w:val="005C4FAF"/>
    <w:rsid w:val="005C57F5"/>
    <w:rsid w:val="005C5FD2"/>
    <w:rsid w:val="005C6F75"/>
    <w:rsid w:val="005C72C5"/>
    <w:rsid w:val="005C78BA"/>
    <w:rsid w:val="005C7FD1"/>
    <w:rsid w:val="005D0651"/>
    <w:rsid w:val="005D1655"/>
    <w:rsid w:val="005D2635"/>
    <w:rsid w:val="005D414C"/>
    <w:rsid w:val="005D4468"/>
    <w:rsid w:val="005D54C9"/>
    <w:rsid w:val="005D5AA6"/>
    <w:rsid w:val="005D6BCC"/>
    <w:rsid w:val="005D71EB"/>
    <w:rsid w:val="005E02C6"/>
    <w:rsid w:val="005E02D3"/>
    <w:rsid w:val="005E07C6"/>
    <w:rsid w:val="005E09FF"/>
    <w:rsid w:val="005E1143"/>
    <w:rsid w:val="005E1EF7"/>
    <w:rsid w:val="005E2068"/>
    <w:rsid w:val="005E2757"/>
    <w:rsid w:val="005E354A"/>
    <w:rsid w:val="005E3F88"/>
    <w:rsid w:val="005E409E"/>
    <w:rsid w:val="005E627D"/>
    <w:rsid w:val="005E63D9"/>
    <w:rsid w:val="005E7229"/>
    <w:rsid w:val="005E7CF3"/>
    <w:rsid w:val="005F2190"/>
    <w:rsid w:val="005F288F"/>
    <w:rsid w:val="005F2994"/>
    <w:rsid w:val="005F3788"/>
    <w:rsid w:val="005F3900"/>
    <w:rsid w:val="005F429F"/>
    <w:rsid w:val="005F58BE"/>
    <w:rsid w:val="005F6BA4"/>
    <w:rsid w:val="00601D95"/>
    <w:rsid w:val="00602917"/>
    <w:rsid w:val="00602DF1"/>
    <w:rsid w:val="00603575"/>
    <w:rsid w:val="00603D4A"/>
    <w:rsid w:val="006041B0"/>
    <w:rsid w:val="00604D48"/>
    <w:rsid w:val="00605333"/>
    <w:rsid w:val="0060573A"/>
    <w:rsid w:val="00606560"/>
    <w:rsid w:val="00606CE5"/>
    <w:rsid w:val="00606E45"/>
    <w:rsid w:val="00607979"/>
    <w:rsid w:val="00607C2B"/>
    <w:rsid w:val="006116B8"/>
    <w:rsid w:val="006122E3"/>
    <w:rsid w:val="006124FA"/>
    <w:rsid w:val="00613A03"/>
    <w:rsid w:val="00613C72"/>
    <w:rsid w:val="00613CA0"/>
    <w:rsid w:val="0061432E"/>
    <w:rsid w:val="00614E1E"/>
    <w:rsid w:val="00615BAE"/>
    <w:rsid w:val="0061659D"/>
    <w:rsid w:val="0061745B"/>
    <w:rsid w:val="006202CB"/>
    <w:rsid w:val="00620555"/>
    <w:rsid w:val="00620C06"/>
    <w:rsid w:val="0062118E"/>
    <w:rsid w:val="00621330"/>
    <w:rsid w:val="00621799"/>
    <w:rsid w:val="00621E70"/>
    <w:rsid w:val="00621F53"/>
    <w:rsid w:val="006223FD"/>
    <w:rsid w:val="0062262A"/>
    <w:rsid w:val="0062299C"/>
    <w:rsid w:val="006230A9"/>
    <w:rsid w:val="00623770"/>
    <w:rsid w:val="006269CE"/>
    <w:rsid w:val="006271F4"/>
    <w:rsid w:val="006276BD"/>
    <w:rsid w:val="00627C0D"/>
    <w:rsid w:val="00627F4B"/>
    <w:rsid w:val="00630261"/>
    <w:rsid w:val="00630EBD"/>
    <w:rsid w:val="0063186A"/>
    <w:rsid w:val="00634489"/>
    <w:rsid w:val="00635054"/>
    <w:rsid w:val="006377AA"/>
    <w:rsid w:val="00637CDD"/>
    <w:rsid w:val="00640768"/>
    <w:rsid w:val="00640C2D"/>
    <w:rsid w:val="00642143"/>
    <w:rsid w:val="00642F0C"/>
    <w:rsid w:val="00644884"/>
    <w:rsid w:val="00644CC0"/>
    <w:rsid w:val="00646C13"/>
    <w:rsid w:val="006504D3"/>
    <w:rsid w:val="006512A9"/>
    <w:rsid w:val="00651A1F"/>
    <w:rsid w:val="00652281"/>
    <w:rsid w:val="00652A1B"/>
    <w:rsid w:val="00652A4F"/>
    <w:rsid w:val="006531AE"/>
    <w:rsid w:val="0065405C"/>
    <w:rsid w:val="0065471A"/>
    <w:rsid w:val="00654C5A"/>
    <w:rsid w:val="0065596C"/>
    <w:rsid w:val="00655AE2"/>
    <w:rsid w:val="00656E0A"/>
    <w:rsid w:val="006601A6"/>
    <w:rsid w:val="00660456"/>
    <w:rsid w:val="00662C05"/>
    <w:rsid w:val="00663883"/>
    <w:rsid w:val="00663983"/>
    <w:rsid w:val="00663D36"/>
    <w:rsid w:val="00663D78"/>
    <w:rsid w:val="00666123"/>
    <w:rsid w:val="006666DB"/>
    <w:rsid w:val="00666AF4"/>
    <w:rsid w:val="00667336"/>
    <w:rsid w:val="006677C3"/>
    <w:rsid w:val="00667E28"/>
    <w:rsid w:val="006713E6"/>
    <w:rsid w:val="00672C65"/>
    <w:rsid w:val="00674C48"/>
    <w:rsid w:val="00675B99"/>
    <w:rsid w:val="006769FB"/>
    <w:rsid w:val="00677271"/>
    <w:rsid w:val="0067781D"/>
    <w:rsid w:val="00677858"/>
    <w:rsid w:val="00677BA1"/>
    <w:rsid w:val="00681757"/>
    <w:rsid w:val="00681BB9"/>
    <w:rsid w:val="00683F81"/>
    <w:rsid w:val="00686402"/>
    <w:rsid w:val="006872A5"/>
    <w:rsid w:val="00687345"/>
    <w:rsid w:val="006928F0"/>
    <w:rsid w:val="00693425"/>
    <w:rsid w:val="00693555"/>
    <w:rsid w:val="00693AC1"/>
    <w:rsid w:val="00693DD9"/>
    <w:rsid w:val="00693E63"/>
    <w:rsid w:val="006949E8"/>
    <w:rsid w:val="00695B9D"/>
    <w:rsid w:val="006971D9"/>
    <w:rsid w:val="00697FAC"/>
    <w:rsid w:val="006A09E5"/>
    <w:rsid w:val="006A100B"/>
    <w:rsid w:val="006A18E3"/>
    <w:rsid w:val="006A1B2C"/>
    <w:rsid w:val="006A3FE1"/>
    <w:rsid w:val="006A4BB3"/>
    <w:rsid w:val="006A4CEC"/>
    <w:rsid w:val="006A7CFE"/>
    <w:rsid w:val="006A7E7A"/>
    <w:rsid w:val="006B07C1"/>
    <w:rsid w:val="006B1AFD"/>
    <w:rsid w:val="006B2381"/>
    <w:rsid w:val="006B2415"/>
    <w:rsid w:val="006B3567"/>
    <w:rsid w:val="006B3D6D"/>
    <w:rsid w:val="006B3FF7"/>
    <w:rsid w:val="006B512D"/>
    <w:rsid w:val="006B5B97"/>
    <w:rsid w:val="006B6283"/>
    <w:rsid w:val="006B6D68"/>
    <w:rsid w:val="006C0F67"/>
    <w:rsid w:val="006C13DB"/>
    <w:rsid w:val="006C1A6F"/>
    <w:rsid w:val="006C1F3D"/>
    <w:rsid w:val="006C2C75"/>
    <w:rsid w:val="006C3DC3"/>
    <w:rsid w:val="006C43E0"/>
    <w:rsid w:val="006C51EA"/>
    <w:rsid w:val="006C58EE"/>
    <w:rsid w:val="006C64FD"/>
    <w:rsid w:val="006C6F49"/>
    <w:rsid w:val="006C71D5"/>
    <w:rsid w:val="006C7626"/>
    <w:rsid w:val="006D025C"/>
    <w:rsid w:val="006D11BF"/>
    <w:rsid w:val="006D1E7F"/>
    <w:rsid w:val="006D2306"/>
    <w:rsid w:val="006D28FA"/>
    <w:rsid w:val="006D35E8"/>
    <w:rsid w:val="006D3EBF"/>
    <w:rsid w:val="006D4B20"/>
    <w:rsid w:val="006D4D46"/>
    <w:rsid w:val="006D5F9A"/>
    <w:rsid w:val="006D6002"/>
    <w:rsid w:val="006D67FA"/>
    <w:rsid w:val="006D6A10"/>
    <w:rsid w:val="006D6DCB"/>
    <w:rsid w:val="006D6FE3"/>
    <w:rsid w:val="006E04E1"/>
    <w:rsid w:val="006E181F"/>
    <w:rsid w:val="006E1829"/>
    <w:rsid w:val="006E2A30"/>
    <w:rsid w:val="006E2A3A"/>
    <w:rsid w:val="006E33B2"/>
    <w:rsid w:val="006E4FF5"/>
    <w:rsid w:val="006E5835"/>
    <w:rsid w:val="006E5A60"/>
    <w:rsid w:val="006E6722"/>
    <w:rsid w:val="006E6DCE"/>
    <w:rsid w:val="006E7843"/>
    <w:rsid w:val="006F0293"/>
    <w:rsid w:val="006F0BAF"/>
    <w:rsid w:val="006F2227"/>
    <w:rsid w:val="006F3182"/>
    <w:rsid w:val="006F4160"/>
    <w:rsid w:val="006F526D"/>
    <w:rsid w:val="007014FB"/>
    <w:rsid w:val="0070368F"/>
    <w:rsid w:val="007037C6"/>
    <w:rsid w:val="00703B95"/>
    <w:rsid w:val="007044B8"/>
    <w:rsid w:val="0070749B"/>
    <w:rsid w:val="00707E18"/>
    <w:rsid w:val="00711162"/>
    <w:rsid w:val="007117EF"/>
    <w:rsid w:val="00711994"/>
    <w:rsid w:val="007126B6"/>
    <w:rsid w:val="00712F24"/>
    <w:rsid w:val="0071305E"/>
    <w:rsid w:val="00713F32"/>
    <w:rsid w:val="007148A2"/>
    <w:rsid w:val="00715485"/>
    <w:rsid w:val="0071560A"/>
    <w:rsid w:val="00715796"/>
    <w:rsid w:val="00715CA7"/>
    <w:rsid w:val="00722D9F"/>
    <w:rsid w:val="007250CC"/>
    <w:rsid w:val="0072537A"/>
    <w:rsid w:val="0073001C"/>
    <w:rsid w:val="00730975"/>
    <w:rsid w:val="00733AD7"/>
    <w:rsid w:val="00733C8D"/>
    <w:rsid w:val="00733EB9"/>
    <w:rsid w:val="00734EC0"/>
    <w:rsid w:val="00736110"/>
    <w:rsid w:val="00736AC6"/>
    <w:rsid w:val="00736F5E"/>
    <w:rsid w:val="00737482"/>
    <w:rsid w:val="0074036C"/>
    <w:rsid w:val="007405FA"/>
    <w:rsid w:val="00740692"/>
    <w:rsid w:val="00741A07"/>
    <w:rsid w:val="007430B8"/>
    <w:rsid w:val="007434E0"/>
    <w:rsid w:val="00743A10"/>
    <w:rsid w:val="00743B8C"/>
    <w:rsid w:val="00745027"/>
    <w:rsid w:val="007455D0"/>
    <w:rsid w:val="007479E7"/>
    <w:rsid w:val="00747A37"/>
    <w:rsid w:val="0075011B"/>
    <w:rsid w:val="00750E32"/>
    <w:rsid w:val="0075258E"/>
    <w:rsid w:val="00753388"/>
    <w:rsid w:val="007553CF"/>
    <w:rsid w:val="0075563C"/>
    <w:rsid w:val="00757305"/>
    <w:rsid w:val="007574B4"/>
    <w:rsid w:val="007609C8"/>
    <w:rsid w:val="00761B9D"/>
    <w:rsid w:val="00763D8A"/>
    <w:rsid w:val="00763DF6"/>
    <w:rsid w:val="00765894"/>
    <w:rsid w:val="00765A34"/>
    <w:rsid w:val="00765DC2"/>
    <w:rsid w:val="00766001"/>
    <w:rsid w:val="00766DC9"/>
    <w:rsid w:val="00767699"/>
    <w:rsid w:val="00767C7E"/>
    <w:rsid w:val="0077023B"/>
    <w:rsid w:val="00771E6E"/>
    <w:rsid w:val="00773C84"/>
    <w:rsid w:val="00775ACC"/>
    <w:rsid w:val="007777A0"/>
    <w:rsid w:val="00777E55"/>
    <w:rsid w:val="007804BE"/>
    <w:rsid w:val="00780DF1"/>
    <w:rsid w:val="007820CE"/>
    <w:rsid w:val="00783291"/>
    <w:rsid w:val="007851D3"/>
    <w:rsid w:val="0078635C"/>
    <w:rsid w:val="00786F82"/>
    <w:rsid w:val="00787B36"/>
    <w:rsid w:val="00790B2E"/>
    <w:rsid w:val="007922F0"/>
    <w:rsid w:val="00792485"/>
    <w:rsid w:val="0079334E"/>
    <w:rsid w:val="00793793"/>
    <w:rsid w:val="00794A92"/>
    <w:rsid w:val="00794D42"/>
    <w:rsid w:val="007962B1"/>
    <w:rsid w:val="00796EE3"/>
    <w:rsid w:val="0079787C"/>
    <w:rsid w:val="00797FFD"/>
    <w:rsid w:val="007A04B1"/>
    <w:rsid w:val="007A091F"/>
    <w:rsid w:val="007A2698"/>
    <w:rsid w:val="007A3E33"/>
    <w:rsid w:val="007A3E3D"/>
    <w:rsid w:val="007A584E"/>
    <w:rsid w:val="007A74F7"/>
    <w:rsid w:val="007B07C0"/>
    <w:rsid w:val="007B0BBC"/>
    <w:rsid w:val="007B2855"/>
    <w:rsid w:val="007B293A"/>
    <w:rsid w:val="007B35BF"/>
    <w:rsid w:val="007B4D9D"/>
    <w:rsid w:val="007B7A98"/>
    <w:rsid w:val="007C1001"/>
    <w:rsid w:val="007C193C"/>
    <w:rsid w:val="007C21ED"/>
    <w:rsid w:val="007C224F"/>
    <w:rsid w:val="007C22A3"/>
    <w:rsid w:val="007C2F3B"/>
    <w:rsid w:val="007C3020"/>
    <w:rsid w:val="007C3D34"/>
    <w:rsid w:val="007C6ACA"/>
    <w:rsid w:val="007C7AE3"/>
    <w:rsid w:val="007D09D0"/>
    <w:rsid w:val="007D1D37"/>
    <w:rsid w:val="007D2538"/>
    <w:rsid w:val="007D3F59"/>
    <w:rsid w:val="007D43DC"/>
    <w:rsid w:val="007D4B91"/>
    <w:rsid w:val="007D712E"/>
    <w:rsid w:val="007D7C3C"/>
    <w:rsid w:val="007D7E76"/>
    <w:rsid w:val="007D7F97"/>
    <w:rsid w:val="007E0043"/>
    <w:rsid w:val="007E0D35"/>
    <w:rsid w:val="007E1F0A"/>
    <w:rsid w:val="007E1F81"/>
    <w:rsid w:val="007E2644"/>
    <w:rsid w:val="007E2C70"/>
    <w:rsid w:val="007E303B"/>
    <w:rsid w:val="007E3BFC"/>
    <w:rsid w:val="007E3F26"/>
    <w:rsid w:val="007E46E0"/>
    <w:rsid w:val="007E473B"/>
    <w:rsid w:val="007E49CD"/>
    <w:rsid w:val="007E4A5E"/>
    <w:rsid w:val="007E4B4F"/>
    <w:rsid w:val="007E565E"/>
    <w:rsid w:val="007E5BF7"/>
    <w:rsid w:val="007E7401"/>
    <w:rsid w:val="007E7CB7"/>
    <w:rsid w:val="007F034C"/>
    <w:rsid w:val="007F055E"/>
    <w:rsid w:val="007F0AFA"/>
    <w:rsid w:val="007F0EB1"/>
    <w:rsid w:val="007F1656"/>
    <w:rsid w:val="007F167A"/>
    <w:rsid w:val="007F49E1"/>
    <w:rsid w:val="007F57BF"/>
    <w:rsid w:val="007F7B5B"/>
    <w:rsid w:val="007F7ED9"/>
    <w:rsid w:val="00800261"/>
    <w:rsid w:val="00800D13"/>
    <w:rsid w:val="00800E84"/>
    <w:rsid w:val="0080112C"/>
    <w:rsid w:val="00801242"/>
    <w:rsid w:val="00801899"/>
    <w:rsid w:val="00801FE3"/>
    <w:rsid w:val="008020F5"/>
    <w:rsid w:val="008022F5"/>
    <w:rsid w:val="00802888"/>
    <w:rsid w:val="0080310E"/>
    <w:rsid w:val="00811A00"/>
    <w:rsid w:val="00812600"/>
    <w:rsid w:val="00812BC6"/>
    <w:rsid w:val="00812ECC"/>
    <w:rsid w:val="008136F3"/>
    <w:rsid w:val="008137C1"/>
    <w:rsid w:val="008152CC"/>
    <w:rsid w:val="00815DCB"/>
    <w:rsid w:val="00815E68"/>
    <w:rsid w:val="00816252"/>
    <w:rsid w:val="00816F07"/>
    <w:rsid w:val="00817E26"/>
    <w:rsid w:val="008210F1"/>
    <w:rsid w:val="00821760"/>
    <w:rsid w:val="00821B4A"/>
    <w:rsid w:val="008221C9"/>
    <w:rsid w:val="00822525"/>
    <w:rsid w:val="00824562"/>
    <w:rsid w:val="00824C0A"/>
    <w:rsid w:val="00825FC4"/>
    <w:rsid w:val="0082605B"/>
    <w:rsid w:val="0082764F"/>
    <w:rsid w:val="008313A3"/>
    <w:rsid w:val="00831626"/>
    <w:rsid w:val="00831A7E"/>
    <w:rsid w:val="00832418"/>
    <w:rsid w:val="0083246C"/>
    <w:rsid w:val="008328D4"/>
    <w:rsid w:val="00832DA9"/>
    <w:rsid w:val="00835D2B"/>
    <w:rsid w:val="0083779C"/>
    <w:rsid w:val="0084289C"/>
    <w:rsid w:val="00843E8C"/>
    <w:rsid w:val="00843FAC"/>
    <w:rsid w:val="00843FD9"/>
    <w:rsid w:val="00844686"/>
    <w:rsid w:val="00844A9B"/>
    <w:rsid w:val="00845E10"/>
    <w:rsid w:val="00846788"/>
    <w:rsid w:val="008473B0"/>
    <w:rsid w:val="00850A8D"/>
    <w:rsid w:val="00850ACC"/>
    <w:rsid w:val="00851D9C"/>
    <w:rsid w:val="00851E14"/>
    <w:rsid w:val="00851F0A"/>
    <w:rsid w:val="00852350"/>
    <w:rsid w:val="008528F2"/>
    <w:rsid w:val="00852907"/>
    <w:rsid w:val="008536E7"/>
    <w:rsid w:val="00853A48"/>
    <w:rsid w:val="00853ECE"/>
    <w:rsid w:val="0085427A"/>
    <w:rsid w:val="0085587F"/>
    <w:rsid w:val="008564A9"/>
    <w:rsid w:val="00857292"/>
    <w:rsid w:val="008579CC"/>
    <w:rsid w:val="00857CCC"/>
    <w:rsid w:val="0086146D"/>
    <w:rsid w:val="00863BF3"/>
    <w:rsid w:val="00864AEA"/>
    <w:rsid w:val="00865269"/>
    <w:rsid w:val="00865520"/>
    <w:rsid w:val="0086648D"/>
    <w:rsid w:val="00866543"/>
    <w:rsid w:val="008665D4"/>
    <w:rsid w:val="00866861"/>
    <w:rsid w:val="008668C8"/>
    <w:rsid w:val="008673BD"/>
    <w:rsid w:val="00867CDE"/>
    <w:rsid w:val="00870C39"/>
    <w:rsid w:val="00870CA4"/>
    <w:rsid w:val="00870E7F"/>
    <w:rsid w:val="0087117B"/>
    <w:rsid w:val="008714D3"/>
    <w:rsid w:val="00871A76"/>
    <w:rsid w:val="00873C95"/>
    <w:rsid w:val="008742D7"/>
    <w:rsid w:val="0088031A"/>
    <w:rsid w:val="00880AC2"/>
    <w:rsid w:val="00881330"/>
    <w:rsid w:val="008827D7"/>
    <w:rsid w:val="00882A81"/>
    <w:rsid w:val="00883763"/>
    <w:rsid w:val="00883EC7"/>
    <w:rsid w:val="00886FFC"/>
    <w:rsid w:val="00887345"/>
    <w:rsid w:val="00891182"/>
    <w:rsid w:val="00891B76"/>
    <w:rsid w:val="00892DBE"/>
    <w:rsid w:val="00893242"/>
    <w:rsid w:val="0089397E"/>
    <w:rsid w:val="00894441"/>
    <w:rsid w:val="008A0C8B"/>
    <w:rsid w:val="008A11D4"/>
    <w:rsid w:val="008A1C6B"/>
    <w:rsid w:val="008A1CDB"/>
    <w:rsid w:val="008A3A92"/>
    <w:rsid w:val="008A4D4C"/>
    <w:rsid w:val="008A505F"/>
    <w:rsid w:val="008A52E1"/>
    <w:rsid w:val="008A7B1F"/>
    <w:rsid w:val="008A7EFB"/>
    <w:rsid w:val="008B0452"/>
    <w:rsid w:val="008B15FB"/>
    <w:rsid w:val="008B2834"/>
    <w:rsid w:val="008B2FEB"/>
    <w:rsid w:val="008B3052"/>
    <w:rsid w:val="008B3735"/>
    <w:rsid w:val="008B3E39"/>
    <w:rsid w:val="008B4045"/>
    <w:rsid w:val="008B4A44"/>
    <w:rsid w:val="008B6101"/>
    <w:rsid w:val="008C14ED"/>
    <w:rsid w:val="008C462A"/>
    <w:rsid w:val="008C463C"/>
    <w:rsid w:val="008C4921"/>
    <w:rsid w:val="008C5EA8"/>
    <w:rsid w:val="008C7B46"/>
    <w:rsid w:val="008D07CE"/>
    <w:rsid w:val="008D087B"/>
    <w:rsid w:val="008D0A84"/>
    <w:rsid w:val="008D15EC"/>
    <w:rsid w:val="008D2D18"/>
    <w:rsid w:val="008D352F"/>
    <w:rsid w:val="008D4C9E"/>
    <w:rsid w:val="008D5688"/>
    <w:rsid w:val="008D73A1"/>
    <w:rsid w:val="008D760A"/>
    <w:rsid w:val="008E0659"/>
    <w:rsid w:val="008E08EF"/>
    <w:rsid w:val="008E0C10"/>
    <w:rsid w:val="008E12C6"/>
    <w:rsid w:val="008E3060"/>
    <w:rsid w:val="008E3272"/>
    <w:rsid w:val="008E33F7"/>
    <w:rsid w:val="008E3971"/>
    <w:rsid w:val="008E3AD7"/>
    <w:rsid w:val="008E3F93"/>
    <w:rsid w:val="008E55A8"/>
    <w:rsid w:val="008E5FFE"/>
    <w:rsid w:val="008E6C5F"/>
    <w:rsid w:val="008F0255"/>
    <w:rsid w:val="008F121A"/>
    <w:rsid w:val="008F46F1"/>
    <w:rsid w:val="008F47A1"/>
    <w:rsid w:val="008F740E"/>
    <w:rsid w:val="0090071D"/>
    <w:rsid w:val="00900A35"/>
    <w:rsid w:val="00901CF5"/>
    <w:rsid w:val="00904324"/>
    <w:rsid w:val="0090578C"/>
    <w:rsid w:val="00906DA3"/>
    <w:rsid w:val="00906FD6"/>
    <w:rsid w:val="009109BE"/>
    <w:rsid w:val="00910AE3"/>
    <w:rsid w:val="00911431"/>
    <w:rsid w:val="009118C5"/>
    <w:rsid w:val="00913BA9"/>
    <w:rsid w:val="0091415E"/>
    <w:rsid w:val="009156A2"/>
    <w:rsid w:val="00916B19"/>
    <w:rsid w:val="00916B92"/>
    <w:rsid w:val="00920E0A"/>
    <w:rsid w:val="00920EA0"/>
    <w:rsid w:val="00920EA3"/>
    <w:rsid w:val="009253E9"/>
    <w:rsid w:val="00926F07"/>
    <w:rsid w:val="0092789F"/>
    <w:rsid w:val="00927F5B"/>
    <w:rsid w:val="009324F7"/>
    <w:rsid w:val="00932C84"/>
    <w:rsid w:val="00933A11"/>
    <w:rsid w:val="00933C7A"/>
    <w:rsid w:val="009346E7"/>
    <w:rsid w:val="00935666"/>
    <w:rsid w:val="00936396"/>
    <w:rsid w:val="0093759E"/>
    <w:rsid w:val="00941A69"/>
    <w:rsid w:val="00941C0B"/>
    <w:rsid w:val="00944F77"/>
    <w:rsid w:val="00945401"/>
    <w:rsid w:val="00945AA7"/>
    <w:rsid w:val="0094748B"/>
    <w:rsid w:val="009474C4"/>
    <w:rsid w:val="009502CA"/>
    <w:rsid w:val="009506A5"/>
    <w:rsid w:val="0095110B"/>
    <w:rsid w:val="0095138B"/>
    <w:rsid w:val="00951CAD"/>
    <w:rsid w:val="009521C6"/>
    <w:rsid w:val="00953463"/>
    <w:rsid w:val="00953754"/>
    <w:rsid w:val="009539AB"/>
    <w:rsid w:val="0095412D"/>
    <w:rsid w:val="00954333"/>
    <w:rsid w:val="009549D1"/>
    <w:rsid w:val="00954ADA"/>
    <w:rsid w:val="00954CA4"/>
    <w:rsid w:val="00955FC6"/>
    <w:rsid w:val="00960774"/>
    <w:rsid w:val="0096199C"/>
    <w:rsid w:val="009628C2"/>
    <w:rsid w:val="00962FCE"/>
    <w:rsid w:val="009630B4"/>
    <w:rsid w:val="00963739"/>
    <w:rsid w:val="0096612A"/>
    <w:rsid w:val="009662B3"/>
    <w:rsid w:val="009663DA"/>
    <w:rsid w:val="00967329"/>
    <w:rsid w:val="00967F80"/>
    <w:rsid w:val="009701CA"/>
    <w:rsid w:val="009702D5"/>
    <w:rsid w:val="00970A99"/>
    <w:rsid w:val="00970B4D"/>
    <w:rsid w:val="00971CEF"/>
    <w:rsid w:val="009765D5"/>
    <w:rsid w:val="00976D0B"/>
    <w:rsid w:val="0097713F"/>
    <w:rsid w:val="00980268"/>
    <w:rsid w:val="009811A7"/>
    <w:rsid w:val="009832DA"/>
    <w:rsid w:val="009833FD"/>
    <w:rsid w:val="00983662"/>
    <w:rsid w:val="00983973"/>
    <w:rsid w:val="009869EB"/>
    <w:rsid w:val="00986DBE"/>
    <w:rsid w:val="0098774A"/>
    <w:rsid w:val="00990601"/>
    <w:rsid w:val="00990895"/>
    <w:rsid w:val="00990ABA"/>
    <w:rsid w:val="00990BF1"/>
    <w:rsid w:val="009910C7"/>
    <w:rsid w:val="009915A2"/>
    <w:rsid w:val="0099247A"/>
    <w:rsid w:val="009928B1"/>
    <w:rsid w:val="00992907"/>
    <w:rsid w:val="00993BD3"/>
    <w:rsid w:val="009946FB"/>
    <w:rsid w:val="00994A53"/>
    <w:rsid w:val="00994C4E"/>
    <w:rsid w:val="009A15A3"/>
    <w:rsid w:val="009A4B0C"/>
    <w:rsid w:val="009A4F74"/>
    <w:rsid w:val="009A5045"/>
    <w:rsid w:val="009A5A91"/>
    <w:rsid w:val="009A7927"/>
    <w:rsid w:val="009B038D"/>
    <w:rsid w:val="009B0394"/>
    <w:rsid w:val="009B0D17"/>
    <w:rsid w:val="009B2229"/>
    <w:rsid w:val="009B37F9"/>
    <w:rsid w:val="009B4A0C"/>
    <w:rsid w:val="009B50D7"/>
    <w:rsid w:val="009B547B"/>
    <w:rsid w:val="009B5A39"/>
    <w:rsid w:val="009B62F0"/>
    <w:rsid w:val="009C0208"/>
    <w:rsid w:val="009C119F"/>
    <w:rsid w:val="009C149A"/>
    <w:rsid w:val="009C1539"/>
    <w:rsid w:val="009C19C3"/>
    <w:rsid w:val="009C1FCB"/>
    <w:rsid w:val="009C216C"/>
    <w:rsid w:val="009C296C"/>
    <w:rsid w:val="009C38D8"/>
    <w:rsid w:val="009C53E2"/>
    <w:rsid w:val="009C635B"/>
    <w:rsid w:val="009C707E"/>
    <w:rsid w:val="009C76C2"/>
    <w:rsid w:val="009C7B25"/>
    <w:rsid w:val="009D1E2E"/>
    <w:rsid w:val="009D2AC7"/>
    <w:rsid w:val="009D37D6"/>
    <w:rsid w:val="009D3847"/>
    <w:rsid w:val="009D3E4B"/>
    <w:rsid w:val="009D5FFC"/>
    <w:rsid w:val="009D6094"/>
    <w:rsid w:val="009E093A"/>
    <w:rsid w:val="009E0ED9"/>
    <w:rsid w:val="009E10DF"/>
    <w:rsid w:val="009E1945"/>
    <w:rsid w:val="009E29A2"/>
    <w:rsid w:val="009E2D33"/>
    <w:rsid w:val="009E51E2"/>
    <w:rsid w:val="009E52DA"/>
    <w:rsid w:val="009E537D"/>
    <w:rsid w:val="009E635C"/>
    <w:rsid w:val="009E6576"/>
    <w:rsid w:val="009E6DB2"/>
    <w:rsid w:val="009F05AE"/>
    <w:rsid w:val="009F11C8"/>
    <w:rsid w:val="009F288B"/>
    <w:rsid w:val="009F5000"/>
    <w:rsid w:val="009F58AF"/>
    <w:rsid w:val="009F61E4"/>
    <w:rsid w:val="00A031D1"/>
    <w:rsid w:val="00A045C5"/>
    <w:rsid w:val="00A04723"/>
    <w:rsid w:val="00A04914"/>
    <w:rsid w:val="00A06292"/>
    <w:rsid w:val="00A1083D"/>
    <w:rsid w:val="00A11247"/>
    <w:rsid w:val="00A11B91"/>
    <w:rsid w:val="00A11DE7"/>
    <w:rsid w:val="00A1311F"/>
    <w:rsid w:val="00A13A93"/>
    <w:rsid w:val="00A1402D"/>
    <w:rsid w:val="00A146E7"/>
    <w:rsid w:val="00A153F9"/>
    <w:rsid w:val="00A1584F"/>
    <w:rsid w:val="00A20528"/>
    <w:rsid w:val="00A2112D"/>
    <w:rsid w:val="00A22678"/>
    <w:rsid w:val="00A227DE"/>
    <w:rsid w:val="00A233C9"/>
    <w:rsid w:val="00A2528F"/>
    <w:rsid w:val="00A2565B"/>
    <w:rsid w:val="00A2686E"/>
    <w:rsid w:val="00A26915"/>
    <w:rsid w:val="00A31DD7"/>
    <w:rsid w:val="00A3201A"/>
    <w:rsid w:val="00A3286C"/>
    <w:rsid w:val="00A346F4"/>
    <w:rsid w:val="00A35F08"/>
    <w:rsid w:val="00A401C3"/>
    <w:rsid w:val="00A42E0E"/>
    <w:rsid w:val="00A4383E"/>
    <w:rsid w:val="00A442A0"/>
    <w:rsid w:val="00A44419"/>
    <w:rsid w:val="00A448C0"/>
    <w:rsid w:val="00A44A7D"/>
    <w:rsid w:val="00A44B65"/>
    <w:rsid w:val="00A44BBA"/>
    <w:rsid w:val="00A45D30"/>
    <w:rsid w:val="00A4643C"/>
    <w:rsid w:val="00A47226"/>
    <w:rsid w:val="00A47699"/>
    <w:rsid w:val="00A477BD"/>
    <w:rsid w:val="00A50415"/>
    <w:rsid w:val="00A50CB1"/>
    <w:rsid w:val="00A50CFB"/>
    <w:rsid w:val="00A50E4D"/>
    <w:rsid w:val="00A51F4C"/>
    <w:rsid w:val="00A52DA8"/>
    <w:rsid w:val="00A533BC"/>
    <w:rsid w:val="00A534A9"/>
    <w:rsid w:val="00A5375C"/>
    <w:rsid w:val="00A53838"/>
    <w:rsid w:val="00A54697"/>
    <w:rsid w:val="00A56655"/>
    <w:rsid w:val="00A5775F"/>
    <w:rsid w:val="00A601BB"/>
    <w:rsid w:val="00A61164"/>
    <w:rsid w:val="00A62681"/>
    <w:rsid w:val="00A62A8F"/>
    <w:rsid w:val="00A6422F"/>
    <w:rsid w:val="00A656D2"/>
    <w:rsid w:val="00A66011"/>
    <w:rsid w:val="00A66B13"/>
    <w:rsid w:val="00A66D97"/>
    <w:rsid w:val="00A66DF9"/>
    <w:rsid w:val="00A67121"/>
    <w:rsid w:val="00A67ABF"/>
    <w:rsid w:val="00A67CAA"/>
    <w:rsid w:val="00A70B00"/>
    <w:rsid w:val="00A7259D"/>
    <w:rsid w:val="00A745F8"/>
    <w:rsid w:val="00A7766D"/>
    <w:rsid w:val="00A77FCA"/>
    <w:rsid w:val="00A8299D"/>
    <w:rsid w:val="00A83E3A"/>
    <w:rsid w:val="00A8485A"/>
    <w:rsid w:val="00A85DD0"/>
    <w:rsid w:val="00A85E1F"/>
    <w:rsid w:val="00A86094"/>
    <w:rsid w:val="00A86977"/>
    <w:rsid w:val="00A86C46"/>
    <w:rsid w:val="00A9019E"/>
    <w:rsid w:val="00A92D2C"/>
    <w:rsid w:val="00A941F9"/>
    <w:rsid w:val="00A94CFE"/>
    <w:rsid w:val="00A95284"/>
    <w:rsid w:val="00A958A3"/>
    <w:rsid w:val="00A961B6"/>
    <w:rsid w:val="00A96747"/>
    <w:rsid w:val="00A97E8A"/>
    <w:rsid w:val="00AA09B9"/>
    <w:rsid w:val="00AA0BDF"/>
    <w:rsid w:val="00AA0FE3"/>
    <w:rsid w:val="00AA1082"/>
    <w:rsid w:val="00AA1E35"/>
    <w:rsid w:val="00AA2BDB"/>
    <w:rsid w:val="00AA4514"/>
    <w:rsid w:val="00AA5434"/>
    <w:rsid w:val="00AA6503"/>
    <w:rsid w:val="00AA6EA3"/>
    <w:rsid w:val="00AA70DD"/>
    <w:rsid w:val="00AA7422"/>
    <w:rsid w:val="00AB0ECB"/>
    <w:rsid w:val="00AB3C6E"/>
    <w:rsid w:val="00AB41BF"/>
    <w:rsid w:val="00AB5A09"/>
    <w:rsid w:val="00AB5F80"/>
    <w:rsid w:val="00AB6514"/>
    <w:rsid w:val="00AB6DB3"/>
    <w:rsid w:val="00AB7095"/>
    <w:rsid w:val="00AB7157"/>
    <w:rsid w:val="00AB7208"/>
    <w:rsid w:val="00AC0315"/>
    <w:rsid w:val="00AC1088"/>
    <w:rsid w:val="00AC121E"/>
    <w:rsid w:val="00AC1E14"/>
    <w:rsid w:val="00AC2DEC"/>
    <w:rsid w:val="00AC3FCF"/>
    <w:rsid w:val="00AC40EF"/>
    <w:rsid w:val="00AC6CFE"/>
    <w:rsid w:val="00AC6DC2"/>
    <w:rsid w:val="00AD0F76"/>
    <w:rsid w:val="00AD13F0"/>
    <w:rsid w:val="00AD1D4B"/>
    <w:rsid w:val="00AD2E94"/>
    <w:rsid w:val="00AD3591"/>
    <w:rsid w:val="00AD3666"/>
    <w:rsid w:val="00AD3F7D"/>
    <w:rsid w:val="00AD65F9"/>
    <w:rsid w:val="00AE0205"/>
    <w:rsid w:val="00AE054D"/>
    <w:rsid w:val="00AE0C1F"/>
    <w:rsid w:val="00AE0E8E"/>
    <w:rsid w:val="00AE0EFA"/>
    <w:rsid w:val="00AE3C52"/>
    <w:rsid w:val="00AE4301"/>
    <w:rsid w:val="00AE52E9"/>
    <w:rsid w:val="00AE5595"/>
    <w:rsid w:val="00AF04DA"/>
    <w:rsid w:val="00AF07A1"/>
    <w:rsid w:val="00AF119E"/>
    <w:rsid w:val="00AF2514"/>
    <w:rsid w:val="00AF3036"/>
    <w:rsid w:val="00AF3835"/>
    <w:rsid w:val="00AF40CA"/>
    <w:rsid w:val="00AF43E4"/>
    <w:rsid w:val="00AF631A"/>
    <w:rsid w:val="00AF691D"/>
    <w:rsid w:val="00B00E88"/>
    <w:rsid w:val="00B01012"/>
    <w:rsid w:val="00B01BC2"/>
    <w:rsid w:val="00B01C70"/>
    <w:rsid w:val="00B0298A"/>
    <w:rsid w:val="00B02A70"/>
    <w:rsid w:val="00B04CA6"/>
    <w:rsid w:val="00B05618"/>
    <w:rsid w:val="00B068C9"/>
    <w:rsid w:val="00B07376"/>
    <w:rsid w:val="00B1215B"/>
    <w:rsid w:val="00B1337E"/>
    <w:rsid w:val="00B14691"/>
    <w:rsid w:val="00B153BF"/>
    <w:rsid w:val="00B15564"/>
    <w:rsid w:val="00B178FD"/>
    <w:rsid w:val="00B20773"/>
    <w:rsid w:val="00B21B65"/>
    <w:rsid w:val="00B21E4C"/>
    <w:rsid w:val="00B224F7"/>
    <w:rsid w:val="00B22C54"/>
    <w:rsid w:val="00B23E35"/>
    <w:rsid w:val="00B24B14"/>
    <w:rsid w:val="00B2529D"/>
    <w:rsid w:val="00B2549C"/>
    <w:rsid w:val="00B260A5"/>
    <w:rsid w:val="00B2630A"/>
    <w:rsid w:val="00B267C8"/>
    <w:rsid w:val="00B26D70"/>
    <w:rsid w:val="00B26E75"/>
    <w:rsid w:val="00B2719A"/>
    <w:rsid w:val="00B272D4"/>
    <w:rsid w:val="00B277B9"/>
    <w:rsid w:val="00B27E64"/>
    <w:rsid w:val="00B27FF6"/>
    <w:rsid w:val="00B305C1"/>
    <w:rsid w:val="00B31A29"/>
    <w:rsid w:val="00B32A6D"/>
    <w:rsid w:val="00B33F87"/>
    <w:rsid w:val="00B34654"/>
    <w:rsid w:val="00B353AA"/>
    <w:rsid w:val="00B3599E"/>
    <w:rsid w:val="00B36282"/>
    <w:rsid w:val="00B378EC"/>
    <w:rsid w:val="00B4043D"/>
    <w:rsid w:val="00B431D2"/>
    <w:rsid w:val="00B43448"/>
    <w:rsid w:val="00B43D4A"/>
    <w:rsid w:val="00B44A13"/>
    <w:rsid w:val="00B45D29"/>
    <w:rsid w:val="00B46B98"/>
    <w:rsid w:val="00B5091A"/>
    <w:rsid w:val="00B50CDC"/>
    <w:rsid w:val="00B513C0"/>
    <w:rsid w:val="00B53ED4"/>
    <w:rsid w:val="00B547F5"/>
    <w:rsid w:val="00B5610B"/>
    <w:rsid w:val="00B56311"/>
    <w:rsid w:val="00B576C1"/>
    <w:rsid w:val="00B60E92"/>
    <w:rsid w:val="00B61603"/>
    <w:rsid w:val="00B6176C"/>
    <w:rsid w:val="00B63C9C"/>
    <w:rsid w:val="00B64709"/>
    <w:rsid w:val="00B6496F"/>
    <w:rsid w:val="00B67769"/>
    <w:rsid w:val="00B67A6F"/>
    <w:rsid w:val="00B67C6E"/>
    <w:rsid w:val="00B70516"/>
    <w:rsid w:val="00B711D8"/>
    <w:rsid w:val="00B72750"/>
    <w:rsid w:val="00B72F21"/>
    <w:rsid w:val="00B731B5"/>
    <w:rsid w:val="00B735A2"/>
    <w:rsid w:val="00B737F0"/>
    <w:rsid w:val="00B74011"/>
    <w:rsid w:val="00B74576"/>
    <w:rsid w:val="00B74F17"/>
    <w:rsid w:val="00B753AF"/>
    <w:rsid w:val="00B75929"/>
    <w:rsid w:val="00B75C2F"/>
    <w:rsid w:val="00B76207"/>
    <w:rsid w:val="00B770E7"/>
    <w:rsid w:val="00B807D4"/>
    <w:rsid w:val="00B81A94"/>
    <w:rsid w:val="00B83A97"/>
    <w:rsid w:val="00B841B9"/>
    <w:rsid w:val="00B84BDA"/>
    <w:rsid w:val="00B8623E"/>
    <w:rsid w:val="00B87EBF"/>
    <w:rsid w:val="00B92F7B"/>
    <w:rsid w:val="00B94B2D"/>
    <w:rsid w:val="00B96388"/>
    <w:rsid w:val="00B96BEC"/>
    <w:rsid w:val="00BA020D"/>
    <w:rsid w:val="00BA0F0D"/>
    <w:rsid w:val="00BA1272"/>
    <w:rsid w:val="00BA3173"/>
    <w:rsid w:val="00BA3252"/>
    <w:rsid w:val="00BA32F3"/>
    <w:rsid w:val="00BA47DB"/>
    <w:rsid w:val="00BA51A1"/>
    <w:rsid w:val="00BA537E"/>
    <w:rsid w:val="00BA5960"/>
    <w:rsid w:val="00BA5CF4"/>
    <w:rsid w:val="00BA6EAC"/>
    <w:rsid w:val="00BA7E56"/>
    <w:rsid w:val="00BB08AA"/>
    <w:rsid w:val="00BB0BE8"/>
    <w:rsid w:val="00BB0CFE"/>
    <w:rsid w:val="00BB11D6"/>
    <w:rsid w:val="00BB1398"/>
    <w:rsid w:val="00BB2B18"/>
    <w:rsid w:val="00BB32DE"/>
    <w:rsid w:val="00BB368A"/>
    <w:rsid w:val="00BB383D"/>
    <w:rsid w:val="00BB3A69"/>
    <w:rsid w:val="00BB4579"/>
    <w:rsid w:val="00BB4AA3"/>
    <w:rsid w:val="00BB4E5D"/>
    <w:rsid w:val="00BB553F"/>
    <w:rsid w:val="00BB7260"/>
    <w:rsid w:val="00BB7D7B"/>
    <w:rsid w:val="00BC102E"/>
    <w:rsid w:val="00BC1B3F"/>
    <w:rsid w:val="00BC2D54"/>
    <w:rsid w:val="00BC320E"/>
    <w:rsid w:val="00BC4182"/>
    <w:rsid w:val="00BC4188"/>
    <w:rsid w:val="00BC6AAF"/>
    <w:rsid w:val="00BC760C"/>
    <w:rsid w:val="00BC7AFF"/>
    <w:rsid w:val="00BD0ABD"/>
    <w:rsid w:val="00BD3120"/>
    <w:rsid w:val="00BD3A4E"/>
    <w:rsid w:val="00BD3FC4"/>
    <w:rsid w:val="00BD5D7D"/>
    <w:rsid w:val="00BD7AF5"/>
    <w:rsid w:val="00BE0219"/>
    <w:rsid w:val="00BE1210"/>
    <w:rsid w:val="00BE1D07"/>
    <w:rsid w:val="00BE1E8B"/>
    <w:rsid w:val="00BE2537"/>
    <w:rsid w:val="00BE43CE"/>
    <w:rsid w:val="00BE5251"/>
    <w:rsid w:val="00BE75AB"/>
    <w:rsid w:val="00BE7A0A"/>
    <w:rsid w:val="00BE7A44"/>
    <w:rsid w:val="00BF03DF"/>
    <w:rsid w:val="00BF13FD"/>
    <w:rsid w:val="00BF2561"/>
    <w:rsid w:val="00BF3364"/>
    <w:rsid w:val="00BF5048"/>
    <w:rsid w:val="00BF6892"/>
    <w:rsid w:val="00BF6AFE"/>
    <w:rsid w:val="00BF7307"/>
    <w:rsid w:val="00C02BD9"/>
    <w:rsid w:val="00C035ED"/>
    <w:rsid w:val="00C03D2F"/>
    <w:rsid w:val="00C067A3"/>
    <w:rsid w:val="00C06F65"/>
    <w:rsid w:val="00C10B98"/>
    <w:rsid w:val="00C116D3"/>
    <w:rsid w:val="00C11AC0"/>
    <w:rsid w:val="00C12809"/>
    <w:rsid w:val="00C13A5F"/>
    <w:rsid w:val="00C146FD"/>
    <w:rsid w:val="00C152A6"/>
    <w:rsid w:val="00C1607F"/>
    <w:rsid w:val="00C163E7"/>
    <w:rsid w:val="00C16B6E"/>
    <w:rsid w:val="00C17E7B"/>
    <w:rsid w:val="00C209C7"/>
    <w:rsid w:val="00C21AA6"/>
    <w:rsid w:val="00C231DE"/>
    <w:rsid w:val="00C24097"/>
    <w:rsid w:val="00C243FE"/>
    <w:rsid w:val="00C2471A"/>
    <w:rsid w:val="00C27083"/>
    <w:rsid w:val="00C27095"/>
    <w:rsid w:val="00C274A8"/>
    <w:rsid w:val="00C3008B"/>
    <w:rsid w:val="00C3117C"/>
    <w:rsid w:val="00C313A2"/>
    <w:rsid w:val="00C338C5"/>
    <w:rsid w:val="00C33CC8"/>
    <w:rsid w:val="00C34012"/>
    <w:rsid w:val="00C35BF3"/>
    <w:rsid w:val="00C36385"/>
    <w:rsid w:val="00C370B0"/>
    <w:rsid w:val="00C37192"/>
    <w:rsid w:val="00C400C7"/>
    <w:rsid w:val="00C40382"/>
    <w:rsid w:val="00C404D9"/>
    <w:rsid w:val="00C412F8"/>
    <w:rsid w:val="00C429B8"/>
    <w:rsid w:val="00C42EE0"/>
    <w:rsid w:val="00C44EDB"/>
    <w:rsid w:val="00C44F76"/>
    <w:rsid w:val="00C4524D"/>
    <w:rsid w:val="00C460AF"/>
    <w:rsid w:val="00C4658B"/>
    <w:rsid w:val="00C46BBB"/>
    <w:rsid w:val="00C47A46"/>
    <w:rsid w:val="00C5038B"/>
    <w:rsid w:val="00C50C43"/>
    <w:rsid w:val="00C518AF"/>
    <w:rsid w:val="00C52FFA"/>
    <w:rsid w:val="00C53D23"/>
    <w:rsid w:val="00C5427E"/>
    <w:rsid w:val="00C5547C"/>
    <w:rsid w:val="00C559AC"/>
    <w:rsid w:val="00C56A00"/>
    <w:rsid w:val="00C57414"/>
    <w:rsid w:val="00C575A3"/>
    <w:rsid w:val="00C60915"/>
    <w:rsid w:val="00C61643"/>
    <w:rsid w:val="00C638BF"/>
    <w:rsid w:val="00C6450A"/>
    <w:rsid w:val="00C64B31"/>
    <w:rsid w:val="00C64C24"/>
    <w:rsid w:val="00C64EDB"/>
    <w:rsid w:val="00C66F15"/>
    <w:rsid w:val="00C672A7"/>
    <w:rsid w:val="00C67EA4"/>
    <w:rsid w:val="00C705A6"/>
    <w:rsid w:val="00C71240"/>
    <w:rsid w:val="00C73040"/>
    <w:rsid w:val="00C73151"/>
    <w:rsid w:val="00C734A6"/>
    <w:rsid w:val="00C738E5"/>
    <w:rsid w:val="00C73AFF"/>
    <w:rsid w:val="00C73D45"/>
    <w:rsid w:val="00C7430A"/>
    <w:rsid w:val="00C748D0"/>
    <w:rsid w:val="00C7500F"/>
    <w:rsid w:val="00C750CB"/>
    <w:rsid w:val="00C7559F"/>
    <w:rsid w:val="00C75959"/>
    <w:rsid w:val="00C76478"/>
    <w:rsid w:val="00C77C5C"/>
    <w:rsid w:val="00C77D24"/>
    <w:rsid w:val="00C807D4"/>
    <w:rsid w:val="00C8083D"/>
    <w:rsid w:val="00C81D1A"/>
    <w:rsid w:val="00C823DC"/>
    <w:rsid w:val="00C82A04"/>
    <w:rsid w:val="00C83080"/>
    <w:rsid w:val="00C83955"/>
    <w:rsid w:val="00C83A42"/>
    <w:rsid w:val="00C847E4"/>
    <w:rsid w:val="00C84BFB"/>
    <w:rsid w:val="00C84D3A"/>
    <w:rsid w:val="00C86ECB"/>
    <w:rsid w:val="00C878AD"/>
    <w:rsid w:val="00C9058D"/>
    <w:rsid w:val="00C90CB2"/>
    <w:rsid w:val="00C912DB"/>
    <w:rsid w:val="00C914E0"/>
    <w:rsid w:val="00C91636"/>
    <w:rsid w:val="00C9241E"/>
    <w:rsid w:val="00C93E0C"/>
    <w:rsid w:val="00C93F6D"/>
    <w:rsid w:val="00C95001"/>
    <w:rsid w:val="00C95E14"/>
    <w:rsid w:val="00C97113"/>
    <w:rsid w:val="00C97A4F"/>
    <w:rsid w:val="00CA0446"/>
    <w:rsid w:val="00CA0A0F"/>
    <w:rsid w:val="00CA111A"/>
    <w:rsid w:val="00CA1535"/>
    <w:rsid w:val="00CA22B5"/>
    <w:rsid w:val="00CA3133"/>
    <w:rsid w:val="00CA3F03"/>
    <w:rsid w:val="00CA413D"/>
    <w:rsid w:val="00CA42BA"/>
    <w:rsid w:val="00CA56EF"/>
    <w:rsid w:val="00CA5A3C"/>
    <w:rsid w:val="00CA62D1"/>
    <w:rsid w:val="00CA7206"/>
    <w:rsid w:val="00CB028D"/>
    <w:rsid w:val="00CB07F7"/>
    <w:rsid w:val="00CB094A"/>
    <w:rsid w:val="00CB3488"/>
    <w:rsid w:val="00CB369C"/>
    <w:rsid w:val="00CB4F83"/>
    <w:rsid w:val="00CB5A40"/>
    <w:rsid w:val="00CC0EF4"/>
    <w:rsid w:val="00CC1054"/>
    <w:rsid w:val="00CC19D0"/>
    <w:rsid w:val="00CC3036"/>
    <w:rsid w:val="00CC3E10"/>
    <w:rsid w:val="00CC4BB1"/>
    <w:rsid w:val="00CC57F9"/>
    <w:rsid w:val="00CD06E0"/>
    <w:rsid w:val="00CD1194"/>
    <w:rsid w:val="00CD1F1E"/>
    <w:rsid w:val="00CD232E"/>
    <w:rsid w:val="00CD2E94"/>
    <w:rsid w:val="00CD3DC5"/>
    <w:rsid w:val="00CD4D90"/>
    <w:rsid w:val="00CD509E"/>
    <w:rsid w:val="00CD5404"/>
    <w:rsid w:val="00CD5A74"/>
    <w:rsid w:val="00CD7283"/>
    <w:rsid w:val="00CE097C"/>
    <w:rsid w:val="00CE2BBC"/>
    <w:rsid w:val="00CE4497"/>
    <w:rsid w:val="00CE458F"/>
    <w:rsid w:val="00CE4857"/>
    <w:rsid w:val="00CE4FC9"/>
    <w:rsid w:val="00CE6382"/>
    <w:rsid w:val="00CE6FBE"/>
    <w:rsid w:val="00CE704C"/>
    <w:rsid w:val="00CE7E5F"/>
    <w:rsid w:val="00CF18DF"/>
    <w:rsid w:val="00CF1F3B"/>
    <w:rsid w:val="00CF35DF"/>
    <w:rsid w:val="00CF61D0"/>
    <w:rsid w:val="00CF7024"/>
    <w:rsid w:val="00CF7901"/>
    <w:rsid w:val="00D00C1F"/>
    <w:rsid w:val="00D00F91"/>
    <w:rsid w:val="00D01C1E"/>
    <w:rsid w:val="00D036E0"/>
    <w:rsid w:val="00D0371E"/>
    <w:rsid w:val="00D0526D"/>
    <w:rsid w:val="00D06194"/>
    <w:rsid w:val="00D067EF"/>
    <w:rsid w:val="00D07967"/>
    <w:rsid w:val="00D10996"/>
    <w:rsid w:val="00D10A21"/>
    <w:rsid w:val="00D114B6"/>
    <w:rsid w:val="00D11F96"/>
    <w:rsid w:val="00D13CD1"/>
    <w:rsid w:val="00D15063"/>
    <w:rsid w:val="00D155D5"/>
    <w:rsid w:val="00D17100"/>
    <w:rsid w:val="00D17862"/>
    <w:rsid w:val="00D17E09"/>
    <w:rsid w:val="00D20B9D"/>
    <w:rsid w:val="00D21B47"/>
    <w:rsid w:val="00D21D28"/>
    <w:rsid w:val="00D221F0"/>
    <w:rsid w:val="00D238DA"/>
    <w:rsid w:val="00D23C1E"/>
    <w:rsid w:val="00D24B00"/>
    <w:rsid w:val="00D26672"/>
    <w:rsid w:val="00D27130"/>
    <w:rsid w:val="00D305AA"/>
    <w:rsid w:val="00D31221"/>
    <w:rsid w:val="00D328EC"/>
    <w:rsid w:val="00D32FCD"/>
    <w:rsid w:val="00D3450E"/>
    <w:rsid w:val="00D35602"/>
    <w:rsid w:val="00D35AD7"/>
    <w:rsid w:val="00D3716C"/>
    <w:rsid w:val="00D403CE"/>
    <w:rsid w:val="00D40611"/>
    <w:rsid w:val="00D40F83"/>
    <w:rsid w:val="00D417CB"/>
    <w:rsid w:val="00D425C1"/>
    <w:rsid w:val="00D428D5"/>
    <w:rsid w:val="00D42C58"/>
    <w:rsid w:val="00D42F19"/>
    <w:rsid w:val="00D43E68"/>
    <w:rsid w:val="00D44D4B"/>
    <w:rsid w:val="00D453E1"/>
    <w:rsid w:val="00D4580A"/>
    <w:rsid w:val="00D466AD"/>
    <w:rsid w:val="00D47955"/>
    <w:rsid w:val="00D502C6"/>
    <w:rsid w:val="00D5048B"/>
    <w:rsid w:val="00D512E2"/>
    <w:rsid w:val="00D52135"/>
    <w:rsid w:val="00D52357"/>
    <w:rsid w:val="00D53284"/>
    <w:rsid w:val="00D53CD5"/>
    <w:rsid w:val="00D5452A"/>
    <w:rsid w:val="00D54807"/>
    <w:rsid w:val="00D54F1C"/>
    <w:rsid w:val="00D5523B"/>
    <w:rsid w:val="00D5597E"/>
    <w:rsid w:val="00D55F34"/>
    <w:rsid w:val="00D571A8"/>
    <w:rsid w:val="00D60709"/>
    <w:rsid w:val="00D60E68"/>
    <w:rsid w:val="00D60F4E"/>
    <w:rsid w:val="00D6374B"/>
    <w:rsid w:val="00D6384C"/>
    <w:rsid w:val="00D63982"/>
    <w:rsid w:val="00D64C12"/>
    <w:rsid w:val="00D66859"/>
    <w:rsid w:val="00D669C5"/>
    <w:rsid w:val="00D70FD7"/>
    <w:rsid w:val="00D716F7"/>
    <w:rsid w:val="00D71A9A"/>
    <w:rsid w:val="00D724BA"/>
    <w:rsid w:val="00D72ACE"/>
    <w:rsid w:val="00D73129"/>
    <w:rsid w:val="00D74601"/>
    <w:rsid w:val="00D74BBE"/>
    <w:rsid w:val="00D74C4C"/>
    <w:rsid w:val="00D74FC2"/>
    <w:rsid w:val="00D753E3"/>
    <w:rsid w:val="00D75F99"/>
    <w:rsid w:val="00D77682"/>
    <w:rsid w:val="00D803A1"/>
    <w:rsid w:val="00D80F8F"/>
    <w:rsid w:val="00D81396"/>
    <w:rsid w:val="00D81ABB"/>
    <w:rsid w:val="00D82DEF"/>
    <w:rsid w:val="00D83DAC"/>
    <w:rsid w:val="00D853A5"/>
    <w:rsid w:val="00D854D5"/>
    <w:rsid w:val="00D8595D"/>
    <w:rsid w:val="00D85B3C"/>
    <w:rsid w:val="00D86553"/>
    <w:rsid w:val="00D90F56"/>
    <w:rsid w:val="00D92042"/>
    <w:rsid w:val="00D92406"/>
    <w:rsid w:val="00D93B63"/>
    <w:rsid w:val="00D9525E"/>
    <w:rsid w:val="00D96670"/>
    <w:rsid w:val="00D96E53"/>
    <w:rsid w:val="00D96F1E"/>
    <w:rsid w:val="00D970AA"/>
    <w:rsid w:val="00D97E72"/>
    <w:rsid w:val="00DA08B2"/>
    <w:rsid w:val="00DA0DC4"/>
    <w:rsid w:val="00DA1409"/>
    <w:rsid w:val="00DA2061"/>
    <w:rsid w:val="00DA2EAC"/>
    <w:rsid w:val="00DA30EB"/>
    <w:rsid w:val="00DA31D7"/>
    <w:rsid w:val="00DA3A23"/>
    <w:rsid w:val="00DA3BD9"/>
    <w:rsid w:val="00DA3D9C"/>
    <w:rsid w:val="00DA42B2"/>
    <w:rsid w:val="00DA4325"/>
    <w:rsid w:val="00DA4344"/>
    <w:rsid w:val="00DA5F93"/>
    <w:rsid w:val="00DB21F4"/>
    <w:rsid w:val="00DB359C"/>
    <w:rsid w:val="00DB4259"/>
    <w:rsid w:val="00DB58B0"/>
    <w:rsid w:val="00DB6554"/>
    <w:rsid w:val="00DB70A0"/>
    <w:rsid w:val="00DB79CB"/>
    <w:rsid w:val="00DB7A4E"/>
    <w:rsid w:val="00DC0C30"/>
    <w:rsid w:val="00DC1665"/>
    <w:rsid w:val="00DC1708"/>
    <w:rsid w:val="00DC1CB8"/>
    <w:rsid w:val="00DC25C4"/>
    <w:rsid w:val="00DC2B28"/>
    <w:rsid w:val="00DC6007"/>
    <w:rsid w:val="00DC6184"/>
    <w:rsid w:val="00DC64D8"/>
    <w:rsid w:val="00DC6E5D"/>
    <w:rsid w:val="00DC71CD"/>
    <w:rsid w:val="00DC720C"/>
    <w:rsid w:val="00DC721B"/>
    <w:rsid w:val="00DD06B8"/>
    <w:rsid w:val="00DD39E2"/>
    <w:rsid w:val="00DD5E22"/>
    <w:rsid w:val="00DD61D4"/>
    <w:rsid w:val="00DD6D54"/>
    <w:rsid w:val="00DD6F83"/>
    <w:rsid w:val="00DE1773"/>
    <w:rsid w:val="00DE19AB"/>
    <w:rsid w:val="00DE359F"/>
    <w:rsid w:val="00DE6594"/>
    <w:rsid w:val="00DE65C4"/>
    <w:rsid w:val="00DE69BE"/>
    <w:rsid w:val="00DE7296"/>
    <w:rsid w:val="00DF1061"/>
    <w:rsid w:val="00DF129A"/>
    <w:rsid w:val="00DF2C86"/>
    <w:rsid w:val="00DF6F52"/>
    <w:rsid w:val="00DF7ACE"/>
    <w:rsid w:val="00E00F5C"/>
    <w:rsid w:val="00E01012"/>
    <w:rsid w:val="00E017AB"/>
    <w:rsid w:val="00E018EA"/>
    <w:rsid w:val="00E02708"/>
    <w:rsid w:val="00E036A3"/>
    <w:rsid w:val="00E04C78"/>
    <w:rsid w:val="00E04D60"/>
    <w:rsid w:val="00E053A7"/>
    <w:rsid w:val="00E06BF2"/>
    <w:rsid w:val="00E10682"/>
    <w:rsid w:val="00E109A4"/>
    <w:rsid w:val="00E10C03"/>
    <w:rsid w:val="00E12503"/>
    <w:rsid w:val="00E12B16"/>
    <w:rsid w:val="00E12B3E"/>
    <w:rsid w:val="00E13A74"/>
    <w:rsid w:val="00E13F65"/>
    <w:rsid w:val="00E1481F"/>
    <w:rsid w:val="00E16A16"/>
    <w:rsid w:val="00E171C6"/>
    <w:rsid w:val="00E203D7"/>
    <w:rsid w:val="00E2061A"/>
    <w:rsid w:val="00E20CCA"/>
    <w:rsid w:val="00E20DF2"/>
    <w:rsid w:val="00E20EA5"/>
    <w:rsid w:val="00E21716"/>
    <w:rsid w:val="00E22051"/>
    <w:rsid w:val="00E237D0"/>
    <w:rsid w:val="00E2546B"/>
    <w:rsid w:val="00E25734"/>
    <w:rsid w:val="00E27504"/>
    <w:rsid w:val="00E27C49"/>
    <w:rsid w:val="00E3013A"/>
    <w:rsid w:val="00E31009"/>
    <w:rsid w:val="00E314F9"/>
    <w:rsid w:val="00E316CF"/>
    <w:rsid w:val="00E32798"/>
    <w:rsid w:val="00E3387C"/>
    <w:rsid w:val="00E347D2"/>
    <w:rsid w:val="00E3563C"/>
    <w:rsid w:val="00E36D51"/>
    <w:rsid w:val="00E376F4"/>
    <w:rsid w:val="00E37DA0"/>
    <w:rsid w:val="00E40967"/>
    <w:rsid w:val="00E40B1A"/>
    <w:rsid w:val="00E41D1F"/>
    <w:rsid w:val="00E41FE5"/>
    <w:rsid w:val="00E432C6"/>
    <w:rsid w:val="00E43F75"/>
    <w:rsid w:val="00E45292"/>
    <w:rsid w:val="00E452C3"/>
    <w:rsid w:val="00E45C7A"/>
    <w:rsid w:val="00E46001"/>
    <w:rsid w:val="00E46141"/>
    <w:rsid w:val="00E461AA"/>
    <w:rsid w:val="00E46D59"/>
    <w:rsid w:val="00E505F7"/>
    <w:rsid w:val="00E512D7"/>
    <w:rsid w:val="00E519B4"/>
    <w:rsid w:val="00E532EC"/>
    <w:rsid w:val="00E537EA"/>
    <w:rsid w:val="00E53EEB"/>
    <w:rsid w:val="00E540FF"/>
    <w:rsid w:val="00E54EC4"/>
    <w:rsid w:val="00E55201"/>
    <w:rsid w:val="00E55C7F"/>
    <w:rsid w:val="00E57BC4"/>
    <w:rsid w:val="00E57D99"/>
    <w:rsid w:val="00E612CE"/>
    <w:rsid w:val="00E6270E"/>
    <w:rsid w:val="00E627DA"/>
    <w:rsid w:val="00E63C9E"/>
    <w:rsid w:val="00E63DA3"/>
    <w:rsid w:val="00E64678"/>
    <w:rsid w:val="00E64708"/>
    <w:rsid w:val="00E65892"/>
    <w:rsid w:val="00E66B82"/>
    <w:rsid w:val="00E67B13"/>
    <w:rsid w:val="00E67EC4"/>
    <w:rsid w:val="00E702AD"/>
    <w:rsid w:val="00E70569"/>
    <w:rsid w:val="00E70EA6"/>
    <w:rsid w:val="00E727DF"/>
    <w:rsid w:val="00E737DB"/>
    <w:rsid w:val="00E73D71"/>
    <w:rsid w:val="00E745C4"/>
    <w:rsid w:val="00E74E0B"/>
    <w:rsid w:val="00E754BE"/>
    <w:rsid w:val="00E75B48"/>
    <w:rsid w:val="00E75D7E"/>
    <w:rsid w:val="00E764C9"/>
    <w:rsid w:val="00E76D46"/>
    <w:rsid w:val="00E774D6"/>
    <w:rsid w:val="00E7763F"/>
    <w:rsid w:val="00E77BBE"/>
    <w:rsid w:val="00E80CAA"/>
    <w:rsid w:val="00E81032"/>
    <w:rsid w:val="00E816AB"/>
    <w:rsid w:val="00E822DF"/>
    <w:rsid w:val="00E835CD"/>
    <w:rsid w:val="00E843EA"/>
    <w:rsid w:val="00E8494A"/>
    <w:rsid w:val="00E85554"/>
    <w:rsid w:val="00E85993"/>
    <w:rsid w:val="00E86F9D"/>
    <w:rsid w:val="00E871DF"/>
    <w:rsid w:val="00E877CB"/>
    <w:rsid w:val="00E90E00"/>
    <w:rsid w:val="00E92EB6"/>
    <w:rsid w:val="00E92F29"/>
    <w:rsid w:val="00E94386"/>
    <w:rsid w:val="00E959E1"/>
    <w:rsid w:val="00E95C75"/>
    <w:rsid w:val="00E9647D"/>
    <w:rsid w:val="00E96F06"/>
    <w:rsid w:val="00EA19FC"/>
    <w:rsid w:val="00EA1CB7"/>
    <w:rsid w:val="00EA2ED3"/>
    <w:rsid w:val="00EA3546"/>
    <w:rsid w:val="00EA41C0"/>
    <w:rsid w:val="00EA47DB"/>
    <w:rsid w:val="00EA4D26"/>
    <w:rsid w:val="00EA7649"/>
    <w:rsid w:val="00EA78B4"/>
    <w:rsid w:val="00EA7DBC"/>
    <w:rsid w:val="00EB0629"/>
    <w:rsid w:val="00EB097A"/>
    <w:rsid w:val="00EB1B86"/>
    <w:rsid w:val="00EB37EC"/>
    <w:rsid w:val="00EB3B81"/>
    <w:rsid w:val="00EB3D7C"/>
    <w:rsid w:val="00EB3FB5"/>
    <w:rsid w:val="00EB4B74"/>
    <w:rsid w:val="00EB5709"/>
    <w:rsid w:val="00EB69D1"/>
    <w:rsid w:val="00EB6BD4"/>
    <w:rsid w:val="00EB7401"/>
    <w:rsid w:val="00EB76BA"/>
    <w:rsid w:val="00EB7E07"/>
    <w:rsid w:val="00EC00E2"/>
    <w:rsid w:val="00EC0E5C"/>
    <w:rsid w:val="00EC2D9A"/>
    <w:rsid w:val="00EC3200"/>
    <w:rsid w:val="00EC44DF"/>
    <w:rsid w:val="00EC4D17"/>
    <w:rsid w:val="00EC5AF8"/>
    <w:rsid w:val="00ED0004"/>
    <w:rsid w:val="00ED12AB"/>
    <w:rsid w:val="00ED20C5"/>
    <w:rsid w:val="00ED2A00"/>
    <w:rsid w:val="00ED4FDF"/>
    <w:rsid w:val="00ED758B"/>
    <w:rsid w:val="00ED7623"/>
    <w:rsid w:val="00EE0BFA"/>
    <w:rsid w:val="00EE0CD2"/>
    <w:rsid w:val="00EE1906"/>
    <w:rsid w:val="00EE4ADC"/>
    <w:rsid w:val="00EE4DB6"/>
    <w:rsid w:val="00EE5C33"/>
    <w:rsid w:val="00EE63CB"/>
    <w:rsid w:val="00EE686E"/>
    <w:rsid w:val="00EE6B49"/>
    <w:rsid w:val="00EF1509"/>
    <w:rsid w:val="00EF455A"/>
    <w:rsid w:val="00EF483C"/>
    <w:rsid w:val="00EF513C"/>
    <w:rsid w:val="00EF6291"/>
    <w:rsid w:val="00EF6336"/>
    <w:rsid w:val="00EF7DEF"/>
    <w:rsid w:val="00F00A11"/>
    <w:rsid w:val="00F011DC"/>
    <w:rsid w:val="00F01B32"/>
    <w:rsid w:val="00F04128"/>
    <w:rsid w:val="00F04544"/>
    <w:rsid w:val="00F05A1B"/>
    <w:rsid w:val="00F06E41"/>
    <w:rsid w:val="00F07710"/>
    <w:rsid w:val="00F12642"/>
    <w:rsid w:val="00F13094"/>
    <w:rsid w:val="00F13569"/>
    <w:rsid w:val="00F153A7"/>
    <w:rsid w:val="00F15CF0"/>
    <w:rsid w:val="00F211FF"/>
    <w:rsid w:val="00F2149C"/>
    <w:rsid w:val="00F2166C"/>
    <w:rsid w:val="00F21C8A"/>
    <w:rsid w:val="00F21DA6"/>
    <w:rsid w:val="00F22A34"/>
    <w:rsid w:val="00F22CE6"/>
    <w:rsid w:val="00F22E36"/>
    <w:rsid w:val="00F24531"/>
    <w:rsid w:val="00F24759"/>
    <w:rsid w:val="00F266A6"/>
    <w:rsid w:val="00F26FA4"/>
    <w:rsid w:val="00F3047E"/>
    <w:rsid w:val="00F30D34"/>
    <w:rsid w:val="00F31F36"/>
    <w:rsid w:val="00F330E2"/>
    <w:rsid w:val="00F33E49"/>
    <w:rsid w:val="00F34DF0"/>
    <w:rsid w:val="00F34EB9"/>
    <w:rsid w:val="00F35181"/>
    <w:rsid w:val="00F35CD5"/>
    <w:rsid w:val="00F3668D"/>
    <w:rsid w:val="00F426B0"/>
    <w:rsid w:val="00F427E0"/>
    <w:rsid w:val="00F4301B"/>
    <w:rsid w:val="00F43490"/>
    <w:rsid w:val="00F44C29"/>
    <w:rsid w:val="00F454E9"/>
    <w:rsid w:val="00F4657F"/>
    <w:rsid w:val="00F47B48"/>
    <w:rsid w:val="00F50131"/>
    <w:rsid w:val="00F5051F"/>
    <w:rsid w:val="00F510F9"/>
    <w:rsid w:val="00F511D3"/>
    <w:rsid w:val="00F517C3"/>
    <w:rsid w:val="00F5191B"/>
    <w:rsid w:val="00F52002"/>
    <w:rsid w:val="00F52C06"/>
    <w:rsid w:val="00F5545F"/>
    <w:rsid w:val="00F56253"/>
    <w:rsid w:val="00F56AC0"/>
    <w:rsid w:val="00F61612"/>
    <w:rsid w:val="00F626FF"/>
    <w:rsid w:val="00F63269"/>
    <w:rsid w:val="00F645E0"/>
    <w:rsid w:val="00F65ECD"/>
    <w:rsid w:val="00F65F3F"/>
    <w:rsid w:val="00F65F84"/>
    <w:rsid w:val="00F66651"/>
    <w:rsid w:val="00F70408"/>
    <w:rsid w:val="00F71227"/>
    <w:rsid w:val="00F72626"/>
    <w:rsid w:val="00F72C1A"/>
    <w:rsid w:val="00F73EB4"/>
    <w:rsid w:val="00F743E4"/>
    <w:rsid w:val="00F7507B"/>
    <w:rsid w:val="00F75C1E"/>
    <w:rsid w:val="00F7617C"/>
    <w:rsid w:val="00F76479"/>
    <w:rsid w:val="00F769B6"/>
    <w:rsid w:val="00F7704D"/>
    <w:rsid w:val="00F77674"/>
    <w:rsid w:val="00F8005A"/>
    <w:rsid w:val="00F8369C"/>
    <w:rsid w:val="00F8576E"/>
    <w:rsid w:val="00F865D4"/>
    <w:rsid w:val="00F865E3"/>
    <w:rsid w:val="00F878A3"/>
    <w:rsid w:val="00F90CEE"/>
    <w:rsid w:val="00F9140A"/>
    <w:rsid w:val="00F92842"/>
    <w:rsid w:val="00F92BFE"/>
    <w:rsid w:val="00F935AD"/>
    <w:rsid w:val="00F93EB0"/>
    <w:rsid w:val="00F942F1"/>
    <w:rsid w:val="00F94992"/>
    <w:rsid w:val="00F949F7"/>
    <w:rsid w:val="00F9559E"/>
    <w:rsid w:val="00F96C98"/>
    <w:rsid w:val="00F97628"/>
    <w:rsid w:val="00F978CA"/>
    <w:rsid w:val="00FA01D4"/>
    <w:rsid w:val="00FA24AC"/>
    <w:rsid w:val="00FA24E7"/>
    <w:rsid w:val="00FA29D1"/>
    <w:rsid w:val="00FA2CCB"/>
    <w:rsid w:val="00FA2D4C"/>
    <w:rsid w:val="00FA4201"/>
    <w:rsid w:val="00FA4578"/>
    <w:rsid w:val="00FA4729"/>
    <w:rsid w:val="00FA6A7A"/>
    <w:rsid w:val="00FA7D1F"/>
    <w:rsid w:val="00FB05D3"/>
    <w:rsid w:val="00FB05E5"/>
    <w:rsid w:val="00FB0D16"/>
    <w:rsid w:val="00FB1EC8"/>
    <w:rsid w:val="00FB2075"/>
    <w:rsid w:val="00FB23A5"/>
    <w:rsid w:val="00FB4DDD"/>
    <w:rsid w:val="00FB57E2"/>
    <w:rsid w:val="00FB5E22"/>
    <w:rsid w:val="00FB6F94"/>
    <w:rsid w:val="00FB724D"/>
    <w:rsid w:val="00FC0DCC"/>
    <w:rsid w:val="00FC12F3"/>
    <w:rsid w:val="00FC1444"/>
    <w:rsid w:val="00FC14DB"/>
    <w:rsid w:val="00FC4DD0"/>
    <w:rsid w:val="00FD1ADB"/>
    <w:rsid w:val="00FD3423"/>
    <w:rsid w:val="00FD41FD"/>
    <w:rsid w:val="00FD49D4"/>
    <w:rsid w:val="00FD65E4"/>
    <w:rsid w:val="00FD6BD9"/>
    <w:rsid w:val="00FD720F"/>
    <w:rsid w:val="00FE058B"/>
    <w:rsid w:val="00FE0E9A"/>
    <w:rsid w:val="00FE17D0"/>
    <w:rsid w:val="00FE1C80"/>
    <w:rsid w:val="00FE3CD0"/>
    <w:rsid w:val="00FE6C6A"/>
    <w:rsid w:val="00FE7EEC"/>
    <w:rsid w:val="00FF0C1A"/>
    <w:rsid w:val="00FF0FB7"/>
    <w:rsid w:val="00FF1A8C"/>
    <w:rsid w:val="00FF22D6"/>
    <w:rsid w:val="00FF27F4"/>
    <w:rsid w:val="00FF3B7C"/>
    <w:rsid w:val="00FF4B5A"/>
    <w:rsid w:val="00FF548A"/>
    <w:rsid w:val="1211BDFB"/>
    <w:rsid w:val="19361A09"/>
    <w:rsid w:val="55040D57"/>
    <w:rsid w:val="65232EC0"/>
    <w:rsid w:val="6F7FD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1DBB14"/>
  <w15:docId w15:val="{4E1BFBDC-9FFB-40BF-A2F5-4B952E91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13F0"/>
    <w:rPr>
      <w:rFonts w:ascii="CG Times" w:hAnsi="CG Times"/>
      <w:sz w:val="24"/>
    </w:rPr>
  </w:style>
  <w:style w:type="paragraph" w:styleId="Heading1">
    <w:name w:val="heading 1"/>
    <w:basedOn w:val="Normal"/>
    <w:next w:val="Normal"/>
    <w:link w:val="Heading1Char"/>
    <w:qFormat/>
    <w:rsid w:val="00350DFE"/>
    <w:pPr>
      <w:keepNext/>
      <w:spacing w:before="240" w:after="60"/>
      <w:outlineLvl w:val="0"/>
    </w:pPr>
    <w:rPr>
      <w:rFonts w:ascii="Arial" w:hAnsi="Arial"/>
      <w:b/>
      <w:kern w:val="28"/>
      <w:sz w:val="28"/>
    </w:rPr>
  </w:style>
  <w:style w:type="paragraph" w:styleId="Heading2">
    <w:name w:val="heading 2"/>
    <w:basedOn w:val="Normal"/>
    <w:next w:val="Normal"/>
    <w:link w:val="Heading2Char"/>
    <w:unhideWhenUsed/>
    <w:qFormat/>
    <w:rsid w:val="00350DFE"/>
    <w:pPr>
      <w:keepNext/>
      <w:spacing w:before="240" w:after="60"/>
      <w:outlineLvl w:val="1"/>
    </w:pPr>
    <w:rPr>
      <w:rFonts w:ascii="Cambria" w:hAnsi="Cambria"/>
      <w:b/>
      <w:bCs/>
      <w:i/>
      <w:iCs/>
      <w:sz w:val="28"/>
      <w:szCs w:val="28"/>
    </w:rPr>
  </w:style>
  <w:style w:type="paragraph" w:styleId="Heading3">
    <w:name w:val="heading 3"/>
    <w:aliases w:val="Article"/>
    <w:basedOn w:val="Normal"/>
    <w:next w:val="Normal"/>
    <w:link w:val="Heading3Char"/>
    <w:qFormat/>
    <w:rsid w:val="00350DFE"/>
    <w:pPr>
      <w:keepNext/>
      <w:tabs>
        <w:tab w:val="left" w:pos="-720"/>
      </w:tabs>
      <w:suppressAutoHyphens/>
      <w:jc w:val="both"/>
      <w:outlineLvl w:val="2"/>
    </w:pPr>
    <w:rPr>
      <w:b/>
      <w:sz w:val="18"/>
      <w:u w:val="single"/>
    </w:rPr>
  </w:style>
  <w:style w:type="paragraph" w:styleId="Heading4">
    <w:name w:val="heading 4"/>
    <w:basedOn w:val="Normal"/>
    <w:next w:val="Normal"/>
    <w:link w:val="Heading4Char"/>
    <w:qFormat/>
    <w:rsid w:val="00350DFE"/>
    <w:pPr>
      <w:keepNext/>
      <w:tabs>
        <w:tab w:val="center" w:pos="2520"/>
      </w:tabs>
      <w:suppressAutoHyphens/>
      <w:jc w:val="both"/>
      <w:outlineLvl w:val="3"/>
    </w:pPr>
    <w:rPr>
      <w:b/>
      <w:spacing w:val="-6"/>
      <w:sz w:val="48"/>
    </w:rPr>
  </w:style>
  <w:style w:type="paragraph" w:styleId="Heading8">
    <w:name w:val="heading 8"/>
    <w:basedOn w:val="Normal"/>
    <w:next w:val="Normal"/>
    <w:link w:val="Heading8Char"/>
    <w:unhideWhenUsed/>
    <w:qFormat/>
    <w:rsid w:val="00677271"/>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semiHidden/>
    <w:unhideWhenUsed/>
    <w:qFormat/>
    <w:rsid w:val="003A5AB7"/>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0B2903"/>
    <w:pPr>
      <w:framePr w:w="7920" w:h="1980" w:hRule="exact" w:hSpace="180" w:wrap="auto" w:hAnchor="page" w:xAlign="center" w:yAlign="bottom"/>
      <w:ind w:left="2880"/>
    </w:pPr>
    <w:rPr>
      <w:rFonts w:cs="Arial"/>
      <w:caps/>
      <w:szCs w:val="24"/>
    </w:rPr>
  </w:style>
  <w:style w:type="paragraph" w:styleId="BalloonText">
    <w:name w:val="Balloon Text"/>
    <w:basedOn w:val="Normal"/>
    <w:link w:val="BalloonTextChar"/>
    <w:rsid w:val="003040AC"/>
    <w:rPr>
      <w:rFonts w:ascii="Tahoma" w:hAnsi="Tahoma" w:cs="Tahoma"/>
      <w:sz w:val="16"/>
      <w:szCs w:val="16"/>
    </w:rPr>
  </w:style>
  <w:style w:type="character" w:customStyle="1" w:styleId="BalloonTextChar">
    <w:name w:val="Balloon Text Char"/>
    <w:basedOn w:val="DefaultParagraphFont"/>
    <w:link w:val="BalloonText"/>
    <w:rsid w:val="003040AC"/>
    <w:rPr>
      <w:rFonts w:ascii="Tahoma" w:hAnsi="Tahoma" w:cs="Tahoma"/>
      <w:sz w:val="16"/>
      <w:szCs w:val="16"/>
    </w:rPr>
  </w:style>
  <w:style w:type="character" w:customStyle="1" w:styleId="Heading1Char">
    <w:name w:val="Heading 1 Char"/>
    <w:basedOn w:val="DefaultParagraphFont"/>
    <w:link w:val="Heading1"/>
    <w:rsid w:val="00350DFE"/>
    <w:rPr>
      <w:rFonts w:ascii="Arial" w:hAnsi="Arial"/>
      <w:b/>
      <w:kern w:val="28"/>
      <w:sz w:val="28"/>
    </w:rPr>
  </w:style>
  <w:style w:type="character" w:customStyle="1" w:styleId="Heading3Char">
    <w:name w:val="Heading 3 Char"/>
    <w:aliases w:val="Article Char"/>
    <w:basedOn w:val="DefaultParagraphFont"/>
    <w:link w:val="Heading3"/>
    <w:rsid w:val="00350DFE"/>
    <w:rPr>
      <w:rFonts w:ascii="CG Times" w:hAnsi="CG Times"/>
      <w:b/>
      <w:sz w:val="18"/>
      <w:u w:val="single"/>
    </w:rPr>
  </w:style>
  <w:style w:type="character" w:customStyle="1" w:styleId="Heading4Char">
    <w:name w:val="Heading 4 Char"/>
    <w:basedOn w:val="DefaultParagraphFont"/>
    <w:link w:val="Heading4"/>
    <w:rsid w:val="00350DFE"/>
    <w:rPr>
      <w:rFonts w:ascii="CG Times" w:hAnsi="CG Times"/>
      <w:b/>
      <w:spacing w:val="-6"/>
      <w:sz w:val="48"/>
    </w:rPr>
  </w:style>
  <w:style w:type="paragraph" w:styleId="BodyText">
    <w:name w:val="Body Text"/>
    <w:basedOn w:val="Normal"/>
    <w:link w:val="BodyTextChar"/>
    <w:rsid w:val="00350DFE"/>
    <w:pPr>
      <w:spacing w:after="120"/>
    </w:pPr>
  </w:style>
  <w:style w:type="character" w:customStyle="1" w:styleId="BodyTextChar">
    <w:name w:val="Body Text Char"/>
    <w:basedOn w:val="DefaultParagraphFont"/>
    <w:link w:val="BodyText"/>
    <w:rsid w:val="00350DFE"/>
    <w:rPr>
      <w:rFonts w:ascii="CG Times" w:hAnsi="CG Times"/>
      <w:sz w:val="24"/>
    </w:rPr>
  </w:style>
  <w:style w:type="paragraph" w:styleId="BodyText2">
    <w:name w:val="Body Text 2"/>
    <w:basedOn w:val="Normal"/>
    <w:link w:val="BodyText2Char"/>
    <w:rsid w:val="00350DFE"/>
    <w:pPr>
      <w:tabs>
        <w:tab w:val="left" w:pos="-720"/>
      </w:tabs>
      <w:suppressAutoHyphens/>
      <w:jc w:val="both"/>
      <w:outlineLvl w:val="0"/>
    </w:pPr>
    <w:rPr>
      <w:bCs/>
      <w:sz w:val="18"/>
    </w:rPr>
  </w:style>
  <w:style w:type="character" w:customStyle="1" w:styleId="BodyText2Char">
    <w:name w:val="Body Text 2 Char"/>
    <w:basedOn w:val="DefaultParagraphFont"/>
    <w:link w:val="BodyText2"/>
    <w:rsid w:val="00350DFE"/>
    <w:rPr>
      <w:rFonts w:ascii="CG Times" w:hAnsi="CG Times"/>
      <w:bCs/>
      <w:sz w:val="18"/>
    </w:rPr>
  </w:style>
  <w:style w:type="character" w:customStyle="1" w:styleId="Heading2Char">
    <w:name w:val="Heading 2 Char"/>
    <w:basedOn w:val="DefaultParagraphFont"/>
    <w:link w:val="Heading2"/>
    <w:rsid w:val="00350DFE"/>
    <w:rPr>
      <w:rFonts w:ascii="Cambria" w:eastAsia="Times New Roman" w:hAnsi="Cambria" w:cs="Times New Roman"/>
      <w:b/>
      <w:bCs/>
      <w:i/>
      <w:iCs/>
      <w:sz w:val="28"/>
      <w:szCs w:val="28"/>
    </w:rPr>
  </w:style>
  <w:style w:type="paragraph" w:styleId="BodyText3">
    <w:name w:val="Body Text 3"/>
    <w:basedOn w:val="Normal"/>
    <w:link w:val="BodyText3Char"/>
    <w:rsid w:val="00350DFE"/>
    <w:pPr>
      <w:spacing w:after="120"/>
    </w:pPr>
    <w:rPr>
      <w:sz w:val="16"/>
      <w:szCs w:val="16"/>
    </w:rPr>
  </w:style>
  <w:style w:type="character" w:customStyle="1" w:styleId="BodyText3Char">
    <w:name w:val="Body Text 3 Char"/>
    <w:basedOn w:val="DefaultParagraphFont"/>
    <w:link w:val="BodyText3"/>
    <w:rsid w:val="00350DFE"/>
    <w:rPr>
      <w:rFonts w:ascii="CG Times" w:hAnsi="CG Times"/>
      <w:sz w:val="16"/>
      <w:szCs w:val="16"/>
    </w:rPr>
  </w:style>
  <w:style w:type="paragraph" w:styleId="Header">
    <w:name w:val="header"/>
    <w:basedOn w:val="Normal"/>
    <w:link w:val="HeaderChar"/>
    <w:uiPriority w:val="99"/>
    <w:rsid w:val="00B45D29"/>
    <w:pPr>
      <w:widowControl w:val="0"/>
      <w:tabs>
        <w:tab w:val="center" w:pos="4320"/>
        <w:tab w:val="right" w:pos="8640"/>
      </w:tabs>
    </w:pPr>
  </w:style>
  <w:style w:type="character" w:customStyle="1" w:styleId="HeaderChar">
    <w:name w:val="Header Char"/>
    <w:basedOn w:val="DefaultParagraphFont"/>
    <w:link w:val="Header"/>
    <w:uiPriority w:val="99"/>
    <w:rsid w:val="00B45D29"/>
    <w:rPr>
      <w:rFonts w:ascii="CG Times" w:hAnsi="CG Times"/>
      <w:sz w:val="24"/>
    </w:rPr>
  </w:style>
  <w:style w:type="paragraph" w:styleId="Footer">
    <w:name w:val="footer"/>
    <w:basedOn w:val="Normal"/>
    <w:link w:val="FooterChar"/>
    <w:uiPriority w:val="99"/>
    <w:rsid w:val="008E3AD7"/>
    <w:pPr>
      <w:tabs>
        <w:tab w:val="center" w:pos="4680"/>
        <w:tab w:val="right" w:pos="9360"/>
      </w:tabs>
    </w:pPr>
  </w:style>
  <w:style w:type="character" w:customStyle="1" w:styleId="FooterChar">
    <w:name w:val="Footer Char"/>
    <w:basedOn w:val="DefaultParagraphFont"/>
    <w:link w:val="Footer"/>
    <w:uiPriority w:val="99"/>
    <w:rsid w:val="008E3AD7"/>
    <w:rPr>
      <w:rFonts w:ascii="CG Times" w:hAnsi="CG Times"/>
      <w:sz w:val="24"/>
    </w:rPr>
  </w:style>
  <w:style w:type="character" w:customStyle="1" w:styleId="Heading9Char">
    <w:name w:val="Heading 9 Char"/>
    <w:basedOn w:val="DefaultParagraphFont"/>
    <w:link w:val="Heading9"/>
    <w:semiHidden/>
    <w:rsid w:val="003A5AB7"/>
    <w:rPr>
      <w:rFonts w:asciiTheme="majorHAnsi" w:eastAsiaTheme="majorEastAsia" w:hAnsiTheme="majorHAnsi" w:cstheme="majorBidi"/>
      <w:i/>
      <w:iCs/>
      <w:color w:val="404040" w:themeColor="text1" w:themeTint="BF"/>
    </w:rPr>
  </w:style>
  <w:style w:type="paragraph" w:styleId="BodyTextIndent2">
    <w:name w:val="Body Text Indent 2"/>
    <w:basedOn w:val="Normal"/>
    <w:link w:val="BodyTextIndent2Char"/>
    <w:rsid w:val="003A5AB7"/>
    <w:pPr>
      <w:spacing w:after="120" w:line="480" w:lineRule="auto"/>
      <w:ind w:left="360"/>
    </w:pPr>
  </w:style>
  <w:style w:type="character" w:customStyle="1" w:styleId="BodyTextIndent2Char">
    <w:name w:val="Body Text Indent 2 Char"/>
    <w:basedOn w:val="DefaultParagraphFont"/>
    <w:link w:val="BodyTextIndent2"/>
    <w:rsid w:val="003A5AB7"/>
    <w:rPr>
      <w:rFonts w:ascii="CG Times" w:hAnsi="CG Times"/>
      <w:sz w:val="24"/>
    </w:rPr>
  </w:style>
  <w:style w:type="paragraph" w:styleId="ListParagraph">
    <w:name w:val="List Paragraph"/>
    <w:basedOn w:val="Normal"/>
    <w:uiPriority w:val="1"/>
    <w:qFormat/>
    <w:rsid w:val="003A5AB7"/>
    <w:pPr>
      <w:ind w:left="720"/>
      <w:contextualSpacing/>
    </w:pPr>
  </w:style>
  <w:style w:type="paragraph" w:customStyle="1" w:styleId="Default">
    <w:name w:val="Default"/>
    <w:basedOn w:val="Normal"/>
    <w:uiPriority w:val="99"/>
    <w:rsid w:val="003A5AB7"/>
    <w:pPr>
      <w:autoSpaceDE w:val="0"/>
      <w:autoSpaceDN w:val="0"/>
    </w:pPr>
    <w:rPr>
      <w:rFonts w:ascii="Times New Roman" w:eastAsiaTheme="minorHAnsi" w:hAnsi="Times New Roman"/>
      <w:color w:val="000000"/>
      <w:szCs w:val="24"/>
    </w:rPr>
  </w:style>
  <w:style w:type="paragraph" w:customStyle="1" w:styleId="ClauseText">
    <w:name w:val="Clause Text"/>
    <w:basedOn w:val="Normal"/>
    <w:rsid w:val="005A5872"/>
    <w:pPr>
      <w:overflowPunct w:val="0"/>
      <w:autoSpaceDE w:val="0"/>
      <w:autoSpaceDN w:val="0"/>
      <w:adjustRightInd w:val="0"/>
      <w:spacing w:before="240" w:line="260" w:lineRule="atLeast"/>
      <w:ind w:left="720"/>
      <w:textAlignment w:val="baseline"/>
    </w:pPr>
    <w:rPr>
      <w:rFonts w:ascii="Arial" w:hAnsi="Arial" w:cs="Arial"/>
      <w:i/>
      <w:sz w:val="20"/>
    </w:rPr>
  </w:style>
  <w:style w:type="paragraph" w:customStyle="1" w:styleId="Clause">
    <w:name w:val="Clause"/>
    <w:basedOn w:val="Normal"/>
    <w:link w:val="ClauseChar"/>
    <w:rsid w:val="005A5872"/>
    <w:pPr>
      <w:overflowPunct w:val="0"/>
      <w:autoSpaceDE w:val="0"/>
      <w:autoSpaceDN w:val="0"/>
      <w:adjustRightInd w:val="0"/>
      <w:spacing w:before="120" w:after="120"/>
      <w:ind w:left="660"/>
      <w:textAlignment w:val="baseline"/>
    </w:pPr>
    <w:rPr>
      <w:rFonts w:ascii="Arial" w:hAnsi="Arial" w:cs="Arial"/>
      <w:sz w:val="22"/>
      <w:szCs w:val="22"/>
    </w:rPr>
  </w:style>
  <w:style w:type="character" w:customStyle="1" w:styleId="ClauseChar">
    <w:name w:val="Clause Char"/>
    <w:basedOn w:val="DefaultParagraphFont"/>
    <w:link w:val="Clause"/>
    <w:rsid w:val="005A5872"/>
    <w:rPr>
      <w:rFonts w:ascii="Arial" w:hAnsi="Arial" w:cs="Arial"/>
      <w:sz w:val="22"/>
      <w:szCs w:val="22"/>
    </w:rPr>
  </w:style>
  <w:style w:type="character" w:styleId="Hyperlink">
    <w:name w:val="Hyperlink"/>
    <w:basedOn w:val="DefaultParagraphFont"/>
    <w:uiPriority w:val="99"/>
    <w:rsid w:val="00364DF0"/>
    <w:rPr>
      <w:color w:val="0000FF"/>
      <w:u w:val="single"/>
    </w:rPr>
  </w:style>
  <w:style w:type="character" w:customStyle="1" w:styleId="Heading8Char">
    <w:name w:val="Heading 8 Char"/>
    <w:basedOn w:val="DefaultParagraphFont"/>
    <w:link w:val="Heading8"/>
    <w:rsid w:val="00677271"/>
    <w:rPr>
      <w:rFonts w:asciiTheme="majorHAnsi" w:eastAsiaTheme="majorEastAsia" w:hAnsiTheme="majorHAnsi" w:cstheme="majorBidi"/>
      <w:color w:val="404040" w:themeColor="text1" w:themeTint="BF"/>
    </w:rPr>
  </w:style>
  <w:style w:type="paragraph" w:styleId="BodyTextIndent">
    <w:name w:val="Body Text Indent"/>
    <w:basedOn w:val="Normal"/>
    <w:link w:val="BodyTextIndentChar"/>
    <w:rsid w:val="00677271"/>
    <w:pPr>
      <w:spacing w:after="120"/>
      <w:ind w:left="360"/>
    </w:pPr>
  </w:style>
  <w:style w:type="character" w:customStyle="1" w:styleId="BodyTextIndentChar">
    <w:name w:val="Body Text Indent Char"/>
    <w:basedOn w:val="DefaultParagraphFont"/>
    <w:link w:val="BodyTextIndent"/>
    <w:rsid w:val="00677271"/>
    <w:rPr>
      <w:rFonts w:ascii="CG Times" w:hAnsi="CG Times"/>
      <w:sz w:val="24"/>
    </w:rPr>
  </w:style>
  <w:style w:type="paragraph" w:styleId="HTMLPreformatted">
    <w:name w:val="HTML Preformatted"/>
    <w:basedOn w:val="Normal"/>
    <w:link w:val="HTMLPreformattedChar"/>
    <w:rsid w:val="00677271"/>
    <w:rPr>
      <w:rFonts w:ascii="Courier New" w:hAnsi="Courier New" w:cs="Courier New"/>
      <w:sz w:val="20"/>
    </w:rPr>
  </w:style>
  <w:style w:type="character" w:customStyle="1" w:styleId="HTMLPreformattedChar">
    <w:name w:val="HTML Preformatted Char"/>
    <w:basedOn w:val="DefaultParagraphFont"/>
    <w:link w:val="HTMLPreformatted"/>
    <w:rsid w:val="00677271"/>
    <w:rPr>
      <w:rFonts w:ascii="Courier New" w:hAnsi="Courier New" w:cs="Courier New"/>
    </w:rPr>
  </w:style>
  <w:style w:type="character" w:styleId="CommentReference">
    <w:name w:val="annotation reference"/>
    <w:basedOn w:val="DefaultParagraphFont"/>
    <w:uiPriority w:val="99"/>
    <w:semiHidden/>
    <w:unhideWhenUsed/>
    <w:rsid w:val="00F35181"/>
    <w:rPr>
      <w:sz w:val="16"/>
      <w:szCs w:val="16"/>
    </w:rPr>
  </w:style>
  <w:style w:type="paragraph" w:styleId="CommentText">
    <w:name w:val="annotation text"/>
    <w:basedOn w:val="Normal"/>
    <w:link w:val="CommentTextChar"/>
    <w:uiPriority w:val="99"/>
    <w:unhideWhenUsed/>
    <w:rsid w:val="00F35181"/>
    <w:rPr>
      <w:sz w:val="20"/>
    </w:rPr>
  </w:style>
  <w:style w:type="character" w:customStyle="1" w:styleId="CommentTextChar">
    <w:name w:val="Comment Text Char"/>
    <w:basedOn w:val="DefaultParagraphFont"/>
    <w:link w:val="CommentText"/>
    <w:uiPriority w:val="99"/>
    <w:rsid w:val="00F35181"/>
    <w:rPr>
      <w:rFonts w:ascii="CG Times" w:hAnsi="CG Times"/>
    </w:rPr>
  </w:style>
  <w:style w:type="paragraph" w:styleId="CommentSubject">
    <w:name w:val="annotation subject"/>
    <w:basedOn w:val="CommentText"/>
    <w:next w:val="CommentText"/>
    <w:link w:val="CommentSubjectChar"/>
    <w:semiHidden/>
    <w:unhideWhenUsed/>
    <w:rsid w:val="00F35181"/>
    <w:rPr>
      <w:b/>
      <w:bCs/>
    </w:rPr>
  </w:style>
  <w:style w:type="character" w:customStyle="1" w:styleId="CommentSubjectChar">
    <w:name w:val="Comment Subject Char"/>
    <w:basedOn w:val="CommentTextChar"/>
    <w:link w:val="CommentSubject"/>
    <w:semiHidden/>
    <w:rsid w:val="00F35181"/>
    <w:rPr>
      <w:rFonts w:ascii="CG Times" w:hAnsi="CG Times"/>
      <w:b/>
      <w:bCs/>
    </w:rPr>
  </w:style>
  <w:style w:type="character" w:customStyle="1" w:styleId="Style1">
    <w:name w:val="Style1"/>
    <w:basedOn w:val="DefaultParagraphFont"/>
    <w:uiPriority w:val="1"/>
    <w:rsid w:val="005D1655"/>
    <w:rPr>
      <w:rFonts w:ascii="Times New Roman" w:hAnsi="Times New Roman"/>
      <w:sz w:val="28"/>
    </w:rPr>
  </w:style>
  <w:style w:type="character" w:customStyle="1" w:styleId="Style2">
    <w:name w:val="Style2"/>
    <w:basedOn w:val="DefaultParagraphFont"/>
    <w:uiPriority w:val="1"/>
    <w:rsid w:val="005D1655"/>
    <w:rPr>
      <w:rFonts w:ascii="Times New Roman" w:hAnsi="Times New Roman"/>
      <w:b/>
      <w:sz w:val="32"/>
    </w:rPr>
  </w:style>
  <w:style w:type="character" w:customStyle="1" w:styleId="Style3">
    <w:name w:val="Style3"/>
    <w:basedOn w:val="DefaultParagraphFont"/>
    <w:uiPriority w:val="1"/>
    <w:rsid w:val="005D1655"/>
    <w:rPr>
      <w:rFonts w:ascii="Times New Roman" w:hAnsi="Times New Roman"/>
      <w:b/>
      <w:sz w:val="28"/>
    </w:rPr>
  </w:style>
  <w:style w:type="character" w:styleId="FollowedHyperlink">
    <w:name w:val="FollowedHyperlink"/>
    <w:basedOn w:val="DefaultParagraphFont"/>
    <w:uiPriority w:val="99"/>
    <w:semiHidden/>
    <w:unhideWhenUsed/>
    <w:rsid w:val="00435DA1"/>
    <w:rPr>
      <w:color w:val="800080" w:themeColor="followedHyperlink"/>
      <w:u w:val="single"/>
    </w:rPr>
  </w:style>
  <w:style w:type="character" w:customStyle="1" w:styleId="UnresolvedMention1">
    <w:name w:val="Unresolved Mention1"/>
    <w:basedOn w:val="DefaultParagraphFont"/>
    <w:uiPriority w:val="99"/>
    <w:semiHidden/>
    <w:unhideWhenUsed/>
    <w:rsid w:val="00C4658B"/>
    <w:rPr>
      <w:color w:val="808080"/>
      <w:shd w:val="clear" w:color="auto" w:fill="E6E6E6"/>
    </w:rPr>
  </w:style>
  <w:style w:type="paragraph" w:styleId="Revision">
    <w:name w:val="Revision"/>
    <w:hidden/>
    <w:uiPriority w:val="99"/>
    <w:semiHidden/>
    <w:rsid w:val="001F2495"/>
    <w:rPr>
      <w:rFonts w:ascii="CG Times" w:hAnsi="CG Times"/>
      <w:sz w:val="24"/>
    </w:rPr>
  </w:style>
  <w:style w:type="paragraph" w:styleId="NormalWeb">
    <w:name w:val="Normal (Web)"/>
    <w:basedOn w:val="Normal"/>
    <w:uiPriority w:val="99"/>
    <w:unhideWhenUsed/>
    <w:rsid w:val="00A62681"/>
    <w:pPr>
      <w:spacing w:before="100" w:beforeAutospacing="1" w:after="100" w:afterAutospacing="1"/>
    </w:pPr>
    <w:rPr>
      <w:rFonts w:ascii="Times New Roman" w:hAnsi="Times New Roman"/>
      <w:szCs w:val="24"/>
    </w:rPr>
  </w:style>
  <w:style w:type="paragraph" w:customStyle="1" w:styleId="msonormal0">
    <w:name w:val="msonormal"/>
    <w:basedOn w:val="Normal"/>
    <w:rsid w:val="0044520E"/>
    <w:pPr>
      <w:spacing w:before="100" w:beforeAutospacing="1" w:after="100" w:afterAutospacing="1"/>
    </w:pPr>
    <w:rPr>
      <w:rFonts w:ascii="Times New Roman" w:hAnsi="Times New Roman"/>
      <w:szCs w:val="24"/>
    </w:rPr>
  </w:style>
  <w:style w:type="paragraph" w:styleId="TOCHeading">
    <w:name w:val="TOC Heading"/>
    <w:basedOn w:val="Heading1"/>
    <w:next w:val="Normal"/>
    <w:uiPriority w:val="39"/>
    <w:unhideWhenUsed/>
    <w:qFormat/>
    <w:rsid w:val="00A13A93"/>
    <w:pPr>
      <w:keepLines/>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TOC1">
    <w:name w:val="toc 1"/>
    <w:basedOn w:val="Normal"/>
    <w:next w:val="Normal"/>
    <w:autoRedefine/>
    <w:uiPriority w:val="39"/>
    <w:unhideWhenUsed/>
    <w:rsid w:val="00A13A93"/>
    <w:pPr>
      <w:spacing w:after="100"/>
    </w:pPr>
  </w:style>
  <w:style w:type="paragraph" w:styleId="TOC3">
    <w:name w:val="toc 3"/>
    <w:basedOn w:val="Normal"/>
    <w:next w:val="Normal"/>
    <w:autoRedefine/>
    <w:uiPriority w:val="39"/>
    <w:unhideWhenUsed/>
    <w:rsid w:val="00A13A93"/>
    <w:pPr>
      <w:spacing w:after="100"/>
      <w:ind w:left="480"/>
    </w:pPr>
  </w:style>
  <w:style w:type="character" w:customStyle="1" w:styleId="UnresolvedMention2">
    <w:name w:val="Unresolved Mention2"/>
    <w:basedOn w:val="DefaultParagraphFont"/>
    <w:uiPriority w:val="99"/>
    <w:semiHidden/>
    <w:unhideWhenUsed/>
    <w:rsid w:val="002374E6"/>
    <w:rPr>
      <w:color w:val="808080"/>
      <w:shd w:val="clear" w:color="auto" w:fill="E6E6E6"/>
    </w:rPr>
  </w:style>
  <w:style w:type="paragraph" w:customStyle="1" w:styleId="TableText">
    <w:name w:val="Table Text"/>
    <w:basedOn w:val="Normal"/>
    <w:link w:val="TableTextChar"/>
    <w:qFormat/>
    <w:rsid w:val="00D74BBE"/>
    <w:pPr>
      <w:spacing w:before="120" w:after="120"/>
    </w:pPr>
    <w:rPr>
      <w:rFonts w:ascii="Times New Roman" w:hAnsi="Times New Roman"/>
      <w:szCs w:val="24"/>
    </w:rPr>
  </w:style>
  <w:style w:type="character" w:customStyle="1" w:styleId="TableTextChar">
    <w:name w:val="Table Text Char"/>
    <w:basedOn w:val="DefaultParagraphFont"/>
    <w:link w:val="TableText"/>
    <w:rsid w:val="00D74BBE"/>
    <w:rPr>
      <w:sz w:val="24"/>
      <w:szCs w:val="24"/>
    </w:rPr>
  </w:style>
  <w:style w:type="paragraph" w:customStyle="1" w:styleId="OutlineCont2">
    <w:name w:val="Outline Cont 2"/>
    <w:basedOn w:val="Normal"/>
    <w:link w:val="OutlineCont2Char"/>
    <w:rsid w:val="005662F3"/>
    <w:pPr>
      <w:spacing w:after="240"/>
      <w:ind w:left="720"/>
      <w:jc w:val="both"/>
    </w:pPr>
    <w:rPr>
      <w:rFonts w:ascii="Times New Roman" w:hAnsi="Times New Roman"/>
    </w:rPr>
  </w:style>
  <w:style w:type="character" w:customStyle="1" w:styleId="OutlineCont2Char">
    <w:name w:val="Outline Cont 2 Char"/>
    <w:basedOn w:val="DefaultParagraphFont"/>
    <w:link w:val="OutlineCont2"/>
    <w:rsid w:val="005662F3"/>
    <w:rPr>
      <w:sz w:val="24"/>
    </w:rPr>
  </w:style>
  <w:style w:type="character" w:customStyle="1" w:styleId="UnresolvedMention3">
    <w:name w:val="Unresolved Mention3"/>
    <w:basedOn w:val="DefaultParagraphFont"/>
    <w:uiPriority w:val="99"/>
    <w:semiHidden/>
    <w:unhideWhenUsed/>
    <w:rsid w:val="00C5038B"/>
    <w:rPr>
      <w:color w:val="808080"/>
      <w:shd w:val="clear" w:color="auto" w:fill="E6E6E6"/>
    </w:rPr>
  </w:style>
  <w:style w:type="table" w:styleId="TableGrid">
    <w:name w:val="Table Grid"/>
    <w:basedOn w:val="TableNormal"/>
    <w:uiPriority w:val="39"/>
    <w:rsid w:val="00A20528"/>
    <w:rPr>
      <w:rFonts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BodyText"/>
    <w:link w:val="BodyTextFirstIndentChar"/>
    <w:rsid w:val="00BA7E56"/>
    <w:pPr>
      <w:spacing w:after="0"/>
      <w:ind w:firstLine="360"/>
    </w:pPr>
  </w:style>
  <w:style w:type="character" w:customStyle="1" w:styleId="BodyTextFirstIndentChar">
    <w:name w:val="Body Text First Indent Char"/>
    <w:basedOn w:val="BodyTextChar"/>
    <w:link w:val="BodyTextFirstIndent"/>
    <w:rsid w:val="00BA7E56"/>
    <w:rPr>
      <w:rFonts w:ascii="CG Times" w:hAnsi="CG Times"/>
      <w:sz w:val="24"/>
    </w:rPr>
  </w:style>
  <w:style w:type="paragraph" w:customStyle="1" w:styleId="OutlineL1">
    <w:name w:val="Outline_L1"/>
    <w:basedOn w:val="Normal"/>
    <w:next w:val="BodyText"/>
    <w:rsid w:val="00BA7E56"/>
    <w:pPr>
      <w:numPr>
        <w:numId w:val="31"/>
      </w:numPr>
      <w:spacing w:after="240"/>
      <w:outlineLvl w:val="0"/>
    </w:pPr>
    <w:rPr>
      <w:rFonts w:ascii="Times New Roman" w:hAnsi="Times New Roman"/>
      <w:b/>
      <w:caps/>
      <w:sz w:val="28"/>
    </w:rPr>
  </w:style>
  <w:style w:type="paragraph" w:customStyle="1" w:styleId="OutlineL2">
    <w:name w:val="Outline_L2"/>
    <w:basedOn w:val="OutlineL1"/>
    <w:next w:val="BodyText"/>
    <w:rsid w:val="00BA7E56"/>
    <w:pPr>
      <w:numPr>
        <w:ilvl w:val="1"/>
      </w:numPr>
      <w:jc w:val="both"/>
      <w:outlineLvl w:val="1"/>
    </w:pPr>
    <w:rPr>
      <w:caps w:val="0"/>
      <w:sz w:val="24"/>
    </w:rPr>
  </w:style>
  <w:style w:type="paragraph" w:customStyle="1" w:styleId="OutlineL3">
    <w:name w:val="Outline_L3"/>
    <w:basedOn w:val="OutlineL2"/>
    <w:next w:val="BodyText"/>
    <w:rsid w:val="00BA7E56"/>
    <w:pPr>
      <w:numPr>
        <w:ilvl w:val="2"/>
      </w:numPr>
      <w:outlineLvl w:val="2"/>
    </w:pPr>
    <w:rPr>
      <w:b w:val="0"/>
    </w:rPr>
  </w:style>
  <w:style w:type="paragraph" w:customStyle="1" w:styleId="OutlineL4">
    <w:name w:val="Outline_L4"/>
    <w:basedOn w:val="OutlineL3"/>
    <w:next w:val="BodyText"/>
    <w:rsid w:val="00BA7E56"/>
    <w:pPr>
      <w:numPr>
        <w:ilvl w:val="3"/>
      </w:numPr>
      <w:outlineLvl w:val="3"/>
    </w:pPr>
  </w:style>
  <w:style w:type="paragraph" w:customStyle="1" w:styleId="OutlineL5">
    <w:name w:val="Outline_L5"/>
    <w:basedOn w:val="OutlineL4"/>
    <w:next w:val="BodyText"/>
    <w:rsid w:val="00BA7E56"/>
    <w:pPr>
      <w:numPr>
        <w:ilvl w:val="4"/>
      </w:numPr>
      <w:outlineLvl w:val="4"/>
    </w:pPr>
  </w:style>
  <w:style w:type="paragraph" w:customStyle="1" w:styleId="OutlineL6">
    <w:name w:val="Outline_L6"/>
    <w:basedOn w:val="OutlineL5"/>
    <w:next w:val="BodyText"/>
    <w:rsid w:val="00BA7E56"/>
    <w:pPr>
      <w:numPr>
        <w:ilvl w:val="5"/>
      </w:numPr>
      <w:jc w:val="left"/>
      <w:outlineLvl w:val="5"/>
    </w:pPr>
  </w:style>
  <w:style w:type="paragraph" w:customStyle="1" w:styleId="OutlineL7">
    <w:name w:val="Outline_L7"/>
    <w:basedOn w:val="OutlineL6"/>
    <w:next w:val="BodyText"/>
    <w:rsid w:val="00BA7E56"/>
    <w:pPr>
      <w:numPr>
        <w:ilvl w:val="6"/>
      </w:numPr>
      <w:outlineLvl w:val="6"/>
    </w:pPr>
  </w:style>
  <w:style w:type="paragraph" w:customStyle="1" w:styleId="OutlineL8">
    <w:name w:val="Outline_L8"/>
    <w:basedOn w:val="OutlineL7"/>
    <w:next w:val="BodyText"/>
    <w:rsid w:val="00BA7E56"/>
    <w:pPr>
      <w:numPr>
        <w:ilvl w:val="7"/>
      </w:numPr>
      <w:outlineLvl w:val="7"/>
    </w:pPr>
  </w:style>
  <w:style w:type="paragraph" w:customStyle="1" w:styleId="OutlineL9">
    <w:name w:val="Outline_L9"/>
    <w:basedOn w:val="OutlineL8"/>
    <w:next w:val="BodyText"/>
    <w:rsid w:val="00BA7E56"/>
    <w:pPr>
      <w:numPr>
        <w:ilvl w:val="8"/>
      </w:numPr>
      <w:outlineLvl w:val="8"/>
    </w:pPr>
  </w:style>
  <w:style w:type="paragraph" w:styleId="Subtitle">
    <w:name w:val="Subtitle"/>
    <w:basedOn w:val="Normal"/>
    <w:next w:val="BodyText"/>
    <w:link w:val="SubtitleChar"/>
    <w:qFormat/>
    <w:rsid w:val="00FA6A7A"/>
    <w:pPr>
      <w:numPr>
        <w:ilvl w:val="1"/>
      </w:numPr>
      <w:spacing w:after="240"/>
      <w:jc w:val="center"/>
    </w:pPr>
    <w:rPr>
      <w:rFonts w:ascii="Times New Roman" w:eastAsiaTheme="majorEastAsia" w:hAnsi="Times New Roman" w:cstheme="majorBidi"/>
      <w:iCs/>
      <w:szCs w:val="24"/>
    </w:rPr>
  </w:style>
  <w:style w:type="character" w:customStyle="1" w:styleId="SubtitleChar">
    <w:name w:val="Subtitle Char"/>
    <w:basedOn w:val="DefaultParagraphFont"/>
    <w:link w:val="Subtitle"/>
    <w:rsid w:val="00FA6A7A"/>
    <w:rPr>
      <w:rFonts w:eastAsiaTheme="majorEastAsia" w:cstheme="majorBidi"/>
      <w:iCs/>
      <w:sz w:val="24"/>
      <w:szCs w:val="24"/>
    </w:rPr>
  </w:style>
  <w:style w:type="paragraph" w:styleId="BlockText">
    <w:name w:val="Block Text"/>
    <w:basedOn w:val="Normal"/>
    <w:link w:val="BlockTextChar"/>
    <w:qFormat/>
    <w:rsid w:val="00FA6A7A"/>
    <w:pPr>
      <w:spacing w:after="240"/>
      <w:jc w:val="both"/>
    </w:pPr>
    <w:rPr>
      <w:rFonts w:ascii="Times New Roman" w:eastAsiaTheme="minorEastAsia" w:hAnsi="Times New Roman"/>
      <w:iCs/>
      <w:szCs w:val="24"/>
    </w:rPr>
  </w:style>
  <w:style w:type="paragraph" w:customStyle="1" w:styleId="StandardL1">
    <w:name w:val="Standard_L1"/>
    <w:basedOn w:val="Normal"/>
    <w:next w:val="BodyText"/>
    <w:link w:val="StandardL1Char"/>
    <w:rsid w:val="00FA6A7A"/>
    <w:pPr>
      <w:numPr>
        <w:numId w:val="38"/>
      </w:numPr>
      <w:spacing w:after="240"/>
      <w:outlineLvl w:val="0"/>
    </w:pPr>
    <w:rPr>
      <w:rFonts w:ascii="Times New Roman" w:hAnsi="Times New Roman"/>
    </w:rPr>
  </w:style>
  <w:style w:type="character" w:customStyle="1" w:styleId="StandardL1Char">
    <w:name w:val="Standard_L1 Char"/>
    <w:link w:val="StandardL1"/>
    <w:rsid w:val="00FA6A7A"/>
    <w:rPr>
      <w:sz w:val="24"/>
    </w:rPr>
  </w:style>
  <w:style w:type="paragraph" w:customStyle="1" w:styleId="StandardL2">
    <w:name w:val="Standard_L2"/>
    <w:basedOn w:val="StandardL1"/>
    <w:next w:val="BodyText"/>
    <w:rsid w:val="00FA6A7A"/>
    <w:pPr>
      <w:numPr>
        <w:ilvl w:val="1"/>
      </w:numPr>
      <w:tabs>
        <w:tab w:val="clear" w:pos="720"/>
      </w:tabs>
      <w:spacing w:after="0"/>
      <w:ind w:left="2160" w:hanging="360"/>
      <w:jc w:val="both"/>
      <w:outlineLvl w:val="1"/>
    </w:pPr>
    <w:rPr>
      <w:sz w:val="22"/>
    </w:rPr>
  </w:style>
  <w:style w:type="paragraph" w:customStyle="1" w:styleId="StandardL3">
    <w:name w:val="Standard_L3"/>
    <w:basedOn w:val="StandardL2"/>
    <w:next w:val="BodyText"/>
    <w:rsid w:val="00FA6A7A"/>
    <w:pPr>
      <w:numPr>
        <w:ilvl w:val="2"/>
      </w:numPr>
      <w:tabs>
        <w:tab w:val="clear" w:pos="2160"/>
      </w:tabs>
      <w:spacing w:after="240"/>
      <w:ind w:left="2880" w:hanging="180"/>
      <w:jc w:val="left"/>
      <w:outlineLvl w:val="2"/>
    </w:pPr>
    <w:rPr>
      <w:sz w:val="24"/>
    </w:rPr>
  </w:style>
  <w:style w:type="paragraph" w:customStyle="1" w:styleId="StandardL4">
    <w:name w:val="Standard_L4"/>
    <w:basedOn w:val="StandardL3"/>
    <w:next w:val="BodyText"/>
    <w:rsid w:val="00FA6A7A"/>
    <w:pPr>
      <w:numPr>
        <w:ilvl w:val="3"/>
      </w:numPr>
      <w:tabs>
        <w:tab w:val="clear" w:pos="2880"/>
      </w:tabs>
      <w:ind w:left="3600" w:hanging="360"/>
      <w:outlineLvl w:val="3"/>
    </w:pPr>
  </w:style>
  <w:style w:type="paragraph" w:customStyle="1" w:styleId="StandardL5">
    <w:name w:val="Standard_L5"/>
    <w:basedOn w:val="StandardL4"/>
    <w:next w:val="BodyText"/>
    <w:rsid w:val="00FA6A7A"/>
    <w:pPr>
      <w:numPr>
        <w:ilvl w:val="4"/>
      </w:numPr>
      <w:tabs>
        <w:tab w:val="clear" w:pos="3600"/>
      </w:tabs>
      <w:ind w:left="4320" w:hanging="360"/>
      <w:outlineLvl w:val="4"/>
    </w:pPr>
  </w:style>
  <w:style w:type="paragraph" w:customStyle="1" w:styleId="StandardL6">
    <w:name w:val="Standard_L6"/>
    <w:basedOn w:val="StandardL5"/>
    <w:next w:val="BodyText"/>
    <w:rsid w:val="00FA6A7A"/>
    <w:pPr>
      <w:numPr>
        <w:ilvl w:val="5"/>
      </w:numPr>
      <w:tabs>
        <w:tab w:val="clear" w:pos="4320"/>
      </w:tabs>
      <w:ind w:left="5040" w:hanging="180"/>
      <w:outlineLvl w:val="5"/>
    </w:pPr>
  </w:style>
  <w:style w:type="paragraph" w:customStyle="1" w:styleId="StandardL7">
    <w:name w:val="Standard_L7"/>
    <w:basedOn w:val="StandardL6"/>
    <w:next w:val="BodyText"/>
    <w:rsid w:val="00FA6A7A"/>
    <w:pPr>
      <w:numPr>
        <w:ilvl w:val="6"/>
      </w:numPr>
      <w:tabs>
        <w:tab w:val="clear" w:pos="5040"/>
      </w:tabs>
      <w:ind w:left="5760" w:hanging="360"/>
      <w:outlineLvl w:val="6"/>
    </w:pPr>
  </w:style>
  <w:style w:type="paragraph" w:customStyle="1" w:styleId="StandardL8">
    <w:name w:val="Standard_L8"/>
    <w:basedOn w:val="StandardL7"/>
    <w:next w:val="BodyText"/>
    <w:rsid w:val="00FA6A7A"/>
    <w:pPr>
      <w:numPr>
        <w:ilvl w:val="7"/>
      </w:numPr>
      <w:tabs>
        <w:tab w:val="clear" w:pos="5760"/>
      </w:tabs>
      <w:ind w:left="6480" w:hanging="360"/>
      <w:outlineLvl w:val="7"/>
    </w:pPr>
  </w:style>
  <w:style w:type="paragraph" w:customStyle="1" w:styleId="StandardL9">
    <w:name w:val="Standard_L9"/>
    <w:basedOn w:val="StandardL8"/>
    <w:next w:val="BodyText"/>
    <w:rsid w:val="00FA6A7A"/>
    <w:pPr>
      <w:numPr>
        <w:ilvl w:val="8"/>
      </w:numPr>
      <w:tabs>
        <w:tab w:val="clear" w:pos="6480"/>
      </w:tabs>
      <w:ind w:left="7200" w:hanging="180"/>
      <w:outlineLvl w:val="8"/>
    </w:pPr>
  </w:style>
  <w:style w:type="character" w:customStyle="1" w:styleId="BlockTextChar">
    <w:name w:val="Block Text Char"/>
    <w:basedOn w:val="DefaultParagraphFont"/>
    <w:link w:val="BlockText"/>
    <w:rsid w:val="00FA6A7A"/>
    <w:rPr>
      <w:rFonts w:eastAsiaTheme="minorEastAsia"/>
      <w:iCs/>
      <w:sz w:val="24"/>
      <w:szCs w:val="24"/>
    </w:rPr>
  </w:style>
  <w:style w:type="paragraph" w:styleId="Title">
    <w:name w:val="Title"/>
    <w:basedOn w:val="Normal"/>
    <w:next w:val="BodyText"/>
    <w:link w:val="TitleChar"/>
    <w:qFormat/>
    <w:rsid w:val="00B4043D"/>
    <w:pPr>
      <w:spacing w:after="240"/>
      <w:contextualSpacing/>
      <w:jc w:val="center"/>
      <w:outlineLvl w:val="0"/>
    </w:pPr>
    <w:rPr>
      <w:rFonts w:ascii="Times New Roman" w:eastAsiaTheme="majorEastAsia" w:hAnsi="Times New Roman" w:cstheme="majorBidi"/>
      <w:b/>
      <w:kern w:val="28"/>
      <w:szCs w:val="52"/>
    </w:rPr>
  </w:style>
  <w:style w:type="character" w:customStyle="1" w:styleId="TitleChar">
    <w:name w:val="Title Char"/>
    <w:basedOn w:val="DefaultParagraphFont"/>
    <w:link w:val="Title"/>
    <w:rsid w:val="00B4043D"/>
    <w:rPr>
      <w:rFonts w:eastAsiaTheme="majorEastAsia" w:cstheme="majorBidi"/>
      <w:b/>
      <w:kern w:val="28"/>
      <w:sz w:val="24"/>
      <w:szCs w:val="52"/>
    </w:rPr>
  </w:style>
  <w:style w:type="paragraph" w:customStyle="1" w:styleId="TabbedL1">
    <w:name w:val="Tabbed_L1"/>
    <w:basedOn w:val="Normal"/>
    <w:next w:val="BodyText"/>
    <w:link w:val="TabbedL1Char"/>
    <w:rsid w:val="00B4043D"/>
    <w:pPr>
      <w:numPr>
        <w:numId w:val="39"/>
      </w:numPr>
      <w:spacing w:after="240"/>
      <w:jc w:val="both"/>
      <w:outlineLvl w:val="0"/>
    </w:pPr>
    <w:rPr>
      <w:rFonts w:ascii="Times New Roman" w:hAnsi="Times New Roman"/>
    </w:rPr>
  </w:style>
  <w:style w:type="character" w:customStyle="1" w:styleId="TabbedL1Char">
    <w:name w:val="Tabbed_L1 Char"/>
    <w:link w:val="TabbedL1"/>
    <w:rsid w:val="00B4043D"/>
    <w:rPr>
      <w:sz w:val="24"/>
    </w:rPr>
  </w:style>
  <w:style w:type="paragraph" w:customStyle="1" w:styleId="TabbedL2">
    <w:name w:val="Tabbed_L2"/>
    <w:basedOn w:val="TabbedL1"/>
    <w:next w:val="BodyText"/>
    <w:link w:val="TabbedL2Char"/>
    <w:rsid w:val="00B4043D"/>
    <w:pPr>
      <w:numPr>
        <w:ilvl w:val="1"/>
      </w:numPr>
      <w:outlineLvl w:val="1"/>
    </w:pPr>
  </w:style>
  <w:style w:type="character" w:customStyle="1" w:styleId="TabbedL2Char">
    <w:name w:val="Tabbed_L2 Char"/>
    <w:link w:val="TabbedL2"/>
    <w:rsid w:val="00B4043D"/>
    <w:rPr>
      <w:sz w:val="24"/>
    </w:rPr>
  </w:style>
  <w:style w:type="paragraph" w:customStyle="1" w:styleId="TabbedL3">
    <w:name w:val="Tabbed_L3"/>
    <w:basedOn w:val="TabbedL2"/>
    <w:next w:val="BodyText"/>
    <w:rsid w:val="00B4043D"/>
    <w:pPr>
      <w:numPr>
        <w:ilvl w:val="2"/>
      </w:numPr>
      <w:tabs>
        <w:tab w:val="clear" w:pos="2880"/>
        <w:tab w:val="num" w:pos="2160"/>
      </w:tabs>
      <w:ind w:left="2160" w:hanging="720"/>
      <w:jc w:val="left"/>
      <w:outlineLvl w:val="2"/>
    </w:pPr>
  </w:style>
  <w:style w:type="paragraph" w:customStyle="1" w:styleId="TabbedL4">
    <w:name w:val="Tabbed_L4"/>
    <w:basedOn w:val="TabbedL3"/>
    <w:next w:val="BodyText"/>
    <w:rsid w:val="00B4043D"/>
    <w:pPr>
      <w:numPr>
        <w:ilvl w:val="3"/>
      </w:numPr>
      <w:tabs>
        <w:tab w:val="clear" w:pos="3600"/>
        <w:tab w:val="num" w:pos="2880"/>
      </w:tabs>
      <w:ind w:left="2880" w:hanging="720"/>
      <w:outlineLvl w:val="3"/>
    </w:pPr>
  </w:style>
  <w:style w:type="paragraph" w:customStyle="1" w:styleId="TabbedL5">
    <w:name w:val="Tabbed_L5"/>
    <w:basedOn w:val="TabbedL4"/>
    <w:next w:val="BodyText"/>
    <w:rsid w:val="00B4043D"/>
    <w:pPr>
      <w:numPr>
        <w:ilvl w:val="4"/>
      </w:numPr>
      <w:tabs>
        <w:tab w:val="clear" w:pos="4320"/>
        <w:tab w:val="num" w:pos="3600"/>
      </w:tabs>
      <w:ind w:left="3600" w:hanging="720"/>
      <w:outlineLvl w:val="4"/>
    </w:pPr>
  </w:style>
  <w:style w:type="paragraph" w:customStyle="1" w:styleId="TabbedL6">
    <w:name w:val="Tabbed_L6"/>
    <w:basedOn w:val="TabbedL5"/>
    <w:next w:val="BodyText"/>
    <w:rsid w:val="00B4043D"/>
    <w:pPr>
      <w:numPr>
        <w:ilvl w:val="5"/>
      </w:numPr>
      <w:tabs>
        <w:tab w:val="clear" w:pos="5040"/>
        <w:tab w:val="num" w:pos="4320"/>
      </w:tabs>
      <w:ind w:left="4320" w:firstLine="3600"/>
      <w:outlineLvl w:val="5"/>
    </w:pPr>
  </w:style>
  <w:style w:type="paragraph" w:customStyle="1" w:styleId="TabbedL7">
    <w:name w:val="Tabbed_L7"/>
    <w:basedOn w:val="TabbedL6"/>
    <w:next w:val="BodyText"/>
    <w:rsid w:val="00B4043D"/>
    <w:pPr>
      <w:numPr>
        <w:ilvl w:val="6"/>
      </w:numPr>
      <w:tabs>
        <w:tab w:val="clear" w:pos="5760"/>
        <w:tab w:val="num" w:pos="5040"/>
      </w:tabs>
      <w:ind w:left="5040" w:firstLine="4320"/>
      <w:outlineLvl w:val="6"/>
    </w:pPr>
  </w:style>
  <w:style w:type="paragraph" w:customStyle="1" w:styleId="TabbedL8">
    <w:name w:val="Tabbed_L8"/>
    <w:basedOn w:val="TabbedL7"/>
    <w:next w:val="BodyText"/>
    <w:rsid w:val="00B4043D"/>
    <w:pPr>
      <w:numPr>
        <w:ilvl w:val="7"/>
      </w:numPr>
      <w:tabs>
        <w:tab w:val="clear" w:pos="6480"/>
        <w:tab w:val="num" w:pos="5760"/>
      </w:tabs>
      <w:ind w:left="5760" w:firstLine="5040"/>
      <w:outlineLvl w:val="7"/>
    </w:pPr>
  </w:style>
  <w:style w:type="paragraph" w:customStyle="1" w:styleId="TabbedL9">
    <w:name w:val="Tabbed_L9"/>
    <w:basedOn w:val="TabbedL8"/>
    <w:next w:val="BodyText"/>
    <w:rsid w:val="00B4043D"/>
    <w:pPr>
      <w:numPr>
        <w:ilvl w:val="8"/>
      </w:numPr>
      <w:tabs>
        <w:tab w:val="clear" w:pos="7200"/>
        <w:tab w:val="num" w:pos="6480"/>
      </w:tabs>
      <w:ind w:left="6480" w:firstLine="5760"/>
      <w:outlineLvl w:val="8"/>
    </w:pPr>
  </w:style>
  <w:style w:type="paragraph" w:customStyle="1" w:styleId="InsReqCont1">
    <w:name w:val="InsReq Cont 1"/>
    <w:basedOn w:val="Normal"/>
    <w:link w:val="InsReqCont1Char"/>
    <w:rsid w:val="00075857"/>
    <w:pPr>
      <w:spacing w:after="120"/>
      <w:ind w:left="720"/>
      <w:jc w:val="both"/>
    </w:pPr>
    <w:rPr>
      <w:rFonts w:ascii="Times New Roman" w:hAnsi="Times New Roman"/>
      <w:sz w:val="22"/>
    </w:rPr>
  </w:style>
  <w:style w:type="character" w:customStyle="1" w:styleId="InsReqCont1Char">
    <w:name w:val="InsReq Cont 1 Char"/>
    <w:basedOn w:val="DefaultParagraphFont"/>
    <w:link w:val="InsReqCont1"/>
    <w:rsid w:val="00075857"/>
    <w:rPr>
      <w:sz w:val="22"/>
    </w:rPr>
  </w:style>
  <w:style w:type="paragraph" w:customStyle="1" w:styleId="InsReqL1">
    <w:name w:val="InsReq_L1"/>
    <w:basedOn w:val="Normal"/>
    <w:next w:val="BodyText"/>
    <w:link w:val="InsReqL1Char"/>
    <w:rsid w:val="00075857"/>
    <w:pPr>
      <w:numPr>
        <w:numId w:val="40"/>
      </w:numPr>
      <w:spacing w:after="120"/>
      <w:jc w:val="both"/>
      <w:outlineLvl w:val="0"/>
    </w:pPr>
    <w:rPr>
      <w:rFonts w:ascii="Times New Roman" w:hAnsi="Times New Roman"/>
      <w:sz w:val="22"/>
    </w:rPr>
  </w:style>
  <w:style w:type="character" w:customStyle="1" w:styleId="InsReqL1Char">
    <w:name w:val="InsReq_L1 Char"/>
    <w:link w:val="InsReqL1"/>
    <w:rsid w:val="00075857"/>
    <w:rPr>
      <w:sz w:val="22"/>
    </w:rPr>
  </w:style>
  <w:style w:type="paragraph" w:customStyle="1" w:styleId="InsReqL2">
    <w:name w:val="InsReq_L2"/>
    <w:basedOn w:val="InsReqL1"/>
    <w:next w:val="BodyText"/>
    <w:link w:val="InsReqL2Char"/>
    <w:rsid w:val="00075857"/>
    <w:pPr>
      <w:numPr>
        <w:ilvl w:val="1"/>
      </w:numPr>
      <w:spacing w:after="240"/>
      <w:outlineLvl w:val="1"/>
    </w:pPr>
  </w:style>
  <w:style w:type="character" w:customStyle="1" w:styleId="InsReqL2Char">
    <w:name w:val="InsReq_L2 Char"/>
    <w:link w:val="InsReqL2"/>
    <w:rsid w:val="00075857"/>
    <w:rPr>
      <w:sz w:val="22"/>
    </w:rPr>
  </w:style>
  <w:style w:type="paragraph" w:customStyle="1" w:styleId="InsReqL3">
    <w:name w:val="InsReq_L3"/>
    <w:basedOn w:val="InsReqL2"/>
    <w:next w:val="BodyText"/>
    <w:link w:val="InsReqL3Char"/>
    <w:rsid w:val="00075857"/>
    <w:pPr>
      <w:numPr>
        <w:ilvl w:val="2"/>
      </w:numPr>
      <w:outlineLvl w:val="2"/>
    </w:pPr>
  </w:style>
  <w:style w:type="character" w:customStyle="1" w:styleId="InsReqL3Char">
    <w:name w:val="InsReq_L3 Char"/>
    <w:link w:val="InsReqL3"/>
    <w:rsid w:val="00075857"/>
    <w:rPr>
      <w:sz w:val="22"/>
    </w:rPr>
  </w:style>
  <w:style w:type="paragraph" w:customStyle="1" w:styleId="InsReqL4">
    <w:name w:val="InsReq_L4"/>
    <w:basedOn w:val="InsReqL3"/>
    <w:next w:val="BodyText"/>
    <w:rsid w:val="00075857"/>
    <w:pPr>
      <w:numPr>
        <w:ilvl w:val="3"/>
      </w:numPr>
      <w:tabs>
        <w:tab w:val="clear" w:pos="2880"/>
      </w:tabs>
      <w:ind w:left="5040" w:hanging="360"/>
      <w:jc w:val="left"/>
      <w:outlineLvl w:val="3"/>
    </w:pPr>
    <w:rPr>
      <w:sz w:val="24"/>
    </w:rPr>
  </w:style>
  <w:style w:type="paragraph" w:customStyle="1" w:styleId="InsReqL5">
    <w:name w:val="InsReq_L5"/>
    <w:basedOn w:val="InsReqL4"/>
    <w:next w:val="BodyText"/>
    <w:rsid w:val="00075857"/>
    <w:pPr>
      <w:numPr>
        <w:ilvl w:val="4"/>
      </w:numPr>
      <w:tabs>
        <w:tab w:val="clear" w:pos="3600"/>
      </w:tabs>
      <w:ind w:left="5760" w:hanging="360"/>
      <w:outlineLvl w:val="4"/>
    </w:pPr>
  </w:style>
  <w:style w:type="paragraph" w:customStyle="1" w:styleId="InsReqL6">
    <w:name w:val="InsReq_L6"/>
    <w:basedOn w:val="InsReqL5"/>
    <w:next w:val="BodyText"/>
    <w:rsid w:val="00075857"/>
    <w:pPr>
      <w:numPr>
        <w:ilvl w:val="5"/>
      </w:numPr>
      <w:tabs>
        <w:tab w:val="clear" w:pos="4320"/>
      </w:tabs>
      <w:ind w:left="6480" w:hanging="360"/>
      <w:outlineLvl w:val="5"/>
    </w:pPr>
  </w:style>
  <w:style w:type="paragraph" w:customStyle="1" w:styleId="InsReqL7">
    <w:name w:val="InsReq_L7"/>
    <w:basedOn w:val="InsReqL6"/>
    <w:next w:val="BodyText"/>
    <w:rsid w:val="00075857"/>
    <w:pPr>
      <w:numPr>
        <w:ilvl w:val="6"/>
      </w:numPr>
      <w:tabs>
        <w:tab w:val="clear" w:pos="5040"/>
      </w:tabs>
      <w:ind w:left="7200" w:hanging="360"/>
      <w:outlineLvl w:val="6"/>
    </w:pPr>
  </w:style>
  <w:style w:type="paragraph" w:customStyle="1" w:styleId="InsReqL8">
    <w:name w:val="InsReq_L8"/>
    <w:basedOn w:val="InsReqL7"/>
    <w:next w:val="BodyText"/>
    <w:rsid w:val="00075857"/>
    <w:pPr>
      <w:numPr>
        <w:ilvl w:val="7"/>
      </w:numPr>
      <w:tabs>
        <w:tab w:val="clear" w:pos="5760"/>
      </w:tabs>
      <w:ind w:left="7920" w:hanging="360"/>
      <w:outlineLvl w:val="7"/>
    </w:pPr>
  </w:style>
  <w:style w:type="paragraph" w:customStyle="1" w:styleId="InsReqL9">
    <w:name w:val="InsReq_L9"/>
    <w:basedOn w:val="InsReqL8"/>
    <w:next w:val="BodyText"/>
    <w:rsid w:val="00075857"/>
    <w:pPr>
      <w:numPr>
        <w:ilvl w:val="8"/>
      </w:numPr>
      <w:tabs>
        <w:tab w:val="clear" w:pos="6480"/>
      </w:tabs>
      <w:ind w:left="8640" w:hanging="360"/>
      <w:outlineLvl w:val="8"/>
    </w:pPr>
  </w:style>
  <w:style w:type="paragraph" w:customStyle="1" w:styleId="Body">
    <w:name w:val="Body"/>
    <w:rsid w:val="00E737DB"/>
    <w:pPr>
      <w:spacing w:after="200" w:line="276" w:lineRule="auto"/>
    </w:pPr>
    <w:rPr>
      <w:rFonts w:ascii="Calibri" w:eastAsia="Arial Unicode MS" w:hAnsi="Calibri" w:cs="Arial Unicode MS"/>
      <w:color w:val="000000"/>
      <w:sz w:val="22"/>
      <w:szCs w:val="22"/>
      <w:u w:color="000000"/>
    </w:rPr>
  </w:style>
  <w:style w:type="paragraph" w:styleId="FootnoteText">
    <w:name w:val="footnote text"/>
    <w:basedOn w:val="Normal"/>
    <w:link w:val="FootnoteTextChar"/>
    <w:uiPriority w:val="99"/>
    <w:unhideWhenUsed/>
    <w:rsid w:val="00707E18"/>
    <w:rPr>
      <w:rFonts w:ascii="Times New Roman" w:hAnsi="Times New Roman"/>
      <w:sz w:val="20"/>
    </w:rPr>
  </w:style>
  <w:style w:type="character" w:customStyle="1" w:styleId="FootnoteTextChar">
    <w:name w:val="Footnote Text Char"/>
    <w:basedOn w:val="DefaultParagraphFont"/>
    <w:link w:val="FootnoteText"/>
    <w:uiPriority w:val="99"/>
    <w:rsid w:val="00707E18"/>
  </w:style>
  <w:style w:type="character" w:styleId="FootnoteReference">
    <w:name w:val="footnote reference"/>
    <w:basedOn w:val="DefaultParagraphFont"/>
    <w:uiPriority w:val="99"/>
    <w:semiHidden/>
    <w:unhideWhenUsed/>
    <w:rsid w:val="00707E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102">
      <w:bodyDiv w:val="1"/>
      <w:marLeft w:val="0"/>
      <w:marRight w:val="0"/>
      <w:marTop w:val="0"/>
      <w:marBottom w:val="0"/>
      <w:divBdr>
        <w:top w:val="none" w:sz="0" w:space="0" w:color="auto"/>
        <w:left w:val="none" w:sz="0" w:space="0" w:color="auto"/>
        <w:bottom w:val="none" w:sz="0" w:space="0" w:color="auto"/>
        <w:right w:val="none" w:sz="0" w:space="0" w:color="auto"/>
      </w:divBdr>
    </w:div>
    <w:div w:id="14505523">
      <w:bodyDiv w:val="1"/>
      <w:marLeft w:val="0"/>
      <w:marRight w:val="0"/>
      <w:marTop w:val="0"/>
      <w:marBottom w:val="0"/>
      <w:divBdr>
        <w:top w:val="none" w:sz="0" w:space="0" w:color="auto"/>
        <w:left w:val="none" w:sz="0" w:space="0" w:color="auto"/>
        <w:bottom w:val="none" w:sz="0" w:space="0" w:color="auto"/>
        <w:right w:val="none" w:sz="0" w:space="0" w:color="auto"/>
      </w:divBdr>
    </w:div>
    <w:div w:id="31656698">
      <w:bodyDiv w:val="1"/>
      <w:marLeft w:val="0"/>
      <w:marRight w:val="0"/>
      <w:marTop w:val="0"/>
      <w:marBottom w:val="0"/>
      <w:divBdr>
        <w:top w:val="none" w:sz="0" w:space="0" w:color="auto"/>
        <w:left w:val="none" w:sz="0" w:space="0" w:color="auto"/>
        <w:bottom w:val="none" w:sz="0" w:space="0" w:color="auto"/>
        <w:right w:val="none" w:sz="0" w:space="0" w:color="auto"/>
      </w:divBdr>
      <w:divsChild>
        <w:div w:id="2084595986">
          <w:marLeft w:val="0"/>
          <w:marRight w:val="0"/>
          <w:marTop w:val="0"/>
          <w:marBottom w:val="0"/>
          <w:divBdr>
            <w:top w:val="none" w:sz="0" w:space="0" w:color="auto"/>
            <w:left w:val="none" w:sz="0" w:space="0" w:color="auto"/>
            <w:bottom w:val="none" w:sz="0" w:space="0" w:color="auto"/>
            <w:right w:val="none" w:sz="0" w:space="0" w:color="auto"/>
          </w:divBdr>
          <w:divsChild>
            <w:div w:id="1973367298">
              <w:marLeft w:val="0"/>
              <w:marRight w:val="0"/>
              <w:marTop w:val="2445"/>
              <w:marBottom w:val="0"/>
              <w:divBdr>
                <w:top w:val="none" w:sz="0" w:space="0" w:color="auto"/>
                <w:left w:val="none" w:sz="0" w:space="0" w:color="auto"/>
                <w:bottom w:val="none" w:sz="0" w:space="0" w:color="auto"/>
                <w:right w:val="none" w:sz="0" w:space="0" w:color="auto"/>
              </w:divBdr>
              <w:divsChild>
                <w:div w:id="1261184666">
                  <w:marLeft w:val="0"/>
                  <w:marRight w:val="0"/>
                  <w:marTop w:val="0"/>
                  <w:marBottom w:val="0"/>
                  <w:divBdr>
                    <w:top w:val="none" w:sz="0" w:space="0" w:color="auto"/>
                    <w:left w:val="none" w:sz="0" w:space="0" w:color="auto"/>
                    <w:bottom w:val="none" w:sz="0" w:space="0" w:color="auto"/>
                    <w:right w:val="none" w:sz="0" w:space="0" w:color="auto"/>
                  </w:divBdr>
                  <w:divsChild>
                    <w:div w:id="1310406265">
                      <w:marLeft w:val="0"/>
                      <w:marRight w:val="0"/>
                      <w:marTop w:val="0"/>
                      <w:marBottom w:val="0"/>
                      <w:divBdr>
                        <w:top w:val="none" w:sz="0" w:space="0" w:color="auto"/>
                        <w:left w:val="none" w:sz="0" w:space="0" w:color="auto"/>
                        <w:bottom w:val="none" w:sz="0" w:space="0" w:color="auto"/>
                        <w:right w:val="none" w:sz="0" w:space="0" w:color="auto"/>
                      </w:divBdr>
                      <w:divsChild>
                        <w:div w:id="1755659370">
                          <w:marLeft w:val="0"/>
                          <w:marRight w:val="0"/>
                          <w:marTop w:val="0"/>
                          <w:marBottom w:val="0"/>
                          <w:divBdr>
                            <w:top w:val="none" w:sz="0" w:space="0" w:color="auto"/>
                            <w:left w:val="none" w:sz="0" w:space="0" w:color="auto"/>
                            <w:bottom w:val="none" w:sz="0" w:space="0" w:color="auto"/>
                            <w:right w:val="none" w:sz="0" w:space="0" w:color="auto"/>
                          </w:divBdr>
                          <w:divsChild>
                            <w:div w:id="2110616940">
                              <w:marLeft w:val="0"/>
                              <w:marRight w:val="0"/>
                              <w:marTop w:val="0"/>
                              <w:marBottom w:val="0"/>
                              <w:divBdr>
                                <w:top w:val="none" w:sz="0" w:space="0" w:color="auto"/>
                                <w:left w:val="none" w:sz="0" w:space="0" w:color="auto"/>
                                <w:bottom w:val="none" w:sz="0" w:space="0" w:color="auto"/>
                                <w:right w:val="none" w:sz="0" w:space="0" w:color="auto"/>
                              </w:divBdr>
                              <w:divsChild>
                                <w:div w:id="740754899">
                                  <w:marLeft w:val="0"/>
                                  <w:marRight w:val="0"/>
                                  <w:marTop w:val="0"/>
                                  <w:marBottom w:val="0"/>
                                  <w:divBdr>
                                    <w:top w:val="none" w:sz="0" w:space="0" w:color="auto"/>
                                    <w:left w:val="none" w:sz="0" w:space="0" w:color="auto"/>
                                    <w:bottom w:val="none" w:sz="0" w:space="0" w:color="auto"/>
                                    <w:right w:val="none" w:sz="0" w:space="0" w:color="auto"/>
                                  </w:divBdr>
                                  <w:divsChild>
                                    <w:div w:id="834417525">
                                      <w:marLeft w:val="0"/>
                                      <w:marRight w:val="0"/>
                                      <w:marTop w:val="0"/>
                                      <w:marBottom w:val="0"/>
                                      <w:divBdr>
                                        <w:top w:val="none" w:sz="0" w:space="0" w:color="auto"/>
                                        <w:left w:val="none" w:sz="0" w:space="0" w:color="auto"/>
                                        <w:bottom w:val="none" w:sz="0" w:space="0" w:color="auto"/>
                                        <w:right w:val="none" w:sz="0" w:space="0" w:color="auto"/>
                                      </w:divBdr>
                                      <w:divsChild>
                                        <w:div w:id="1905412729">
                                          <w:marLeft w:val="0"/>
                                          <w:marRight w:val="0"/>
                                          <w:marTop w:val="0"/>
                                          <w:marBottom w:val="0"/>
                                          <w:divBdr>
                                            <w:top w:val="none" w:sz="0" w:space="0" w:color="auto"/>
                                            <w:left w:val="none" w:sz="0" w:space="0" w:color="auto"/>
                                            <w:bottom w:val="none" w:sz="0" w:space="0" w:color="auto"/>
                                            <w:right w:val="none" w:sz="0" w:space="0" w:color="auto"/>
                                          </w:divBdr>
                                          <w:divsChild>
                                            <w:div w:id="435516724">
                                              <w:marLeft w:val="0"/>
                                              <w:marRight w:val="0"/>
                                              <w:marTop w:val="0"/>
                                              <w:marBottom w:val="0"/>
                                              <w:divBdr>
                                                <w:top w:val="none" w:sz="0" w:space="0" w:color="auto"/>
                                                <w:left w:val="none" w:sz="0" w:space="0" w:color="auto"/>
                                                <w:bottom w:val="none" w:sz="0" w:space="0" w:color="auto"/>
                                                <w:right w:val="none" w:sz="0" w:space="0" w:color="auto"/>
                                              </w:divBdr>
                                              <w:divsChild>
                                                <w:div w:id="960188175">
                                                  <w:marLeft w:val="0"/>
                                                  <w:marRight w:val="0"/>
                                                  <w:marTop w:val="0"/>
                                                  <w:marBottom w:val="0"/>
                                                  <w:divBdr>
                                                    <w:top w:val="none" w:sz="0" w:space="0" w:color="auto"/>
                                                    <w:left w:val="none" w:sz="0" w:space="0" w:color="auto"/>
                                                    <w:bottom w:val="none" w:sz="0" w:space="0" w:color="auto"/>
                                                    <w:right w:val="none" w:sz="0" w:space="0" w:color="auto"/>
                                                  </w:divBdr>
                                                  <w:divsChild>
                                                    <w:div w:id="358168967">
                                                      <w:marLeft w:val="0"/>
                                                      <w:marRight w:val="0"/>
                                                      <w:marTop w:val="0"/>
                                                      <w:marBottom w:val="0"/>
                                                      <w:divBdr>
                                                        <w:top w:val="none" w:sz="0" w:space="0" w:color="auto"/>
                                                        <w:left w:val="none" w:sz="0" w:space="0" w:color="auto"/>
                                                        <w:bottom w:val="none" w:sz="0" w:space="0" w:color="auto"/>
                                                        <w:right w:val="none" w:sz="0" w:space="0" w:color="auto"/>
                                                      </w:divBdr>
                                                    </w:div>
                                                    <w:div w:id="1123497946">
                                                      <w:marLeft w:val="0"/>
                                                      <w:marRight w:val="0"/>
                                                      <w:marTop w:val="0"/>
                                                      <w:marBottom w:val="0"/>
                                                      <w:divBdr>
                                                        <w:top w:val="none" w:sz="0" w:space="0" w:color="auto"/>
                                                        <w:left w:val="none" w:sz="0" w:space="0" w:color="auto"/>
                                                        <w:bottom w:val="none" w:sz="0" w:space="0" w:color="auto"/>
                                                        <w:right w:val="none" w:sz="0" w:space="0" w:color="auto"/>
                                                      </w:divBdr>
                                                      <w:divsChild>
                                                        <w:div w:id="1999840050">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124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899481">
                      <w:marLeft w:val="0"/>
                      <w:marRight w:val="0"/>
                      <w:marTop w:val="0"/>
                      <w:marBottom w:val="0"/>
                      <w:divBdr>
                        <w:top w:val="none" w:sz="0" w:space="0" w:color="auto"/>
                        <w:left w:val="none" w:sz="0" w:space="0" w:color="auto"/>
                        <w:bottom w:val="none" w:sz="0" w:space="0" w:color="auto"/>
                        <w:right w:val="none" w:sz="0" w:space="0" w:color="auto"/>
                      </w:divBdr>
                      <w:divsChild>
                        <w:div w:id="205311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036361">
          <w:marLeft w:val="0"/>
          <w:marRight w:val="0"/>
          <w:marTop w:val="0"/>
          <w:marBottom w:val="150"/>
          <w:divBdr>
            <w:top w:val="none" w:sz="0" w:space="0" w:color="auto"/>
            <w:left w:val="none" w:sz="0" w:space="0" w:color="auto"/>
            <w:bottom w:val="none" w:sz="0" w:space="0" w:color="auto"/>
            <w:right w:val="none" w:sz="0" w:space="0" w:color="auto"/>
          </w:divBdr>
          <w:divsChild>
            <w:div w:id="1759405206">
              <w:marLeft w:val="-225"/>
              <w:marRight w:val="0"/>
              <w:marTop w:val="0"/>
              <w:marBottom w:val="0"/>
              <w:divBdr>
                <w:top w:val="single" w:sz="6" w:space="0" w:color="D4E0E4"/>
                <w:left w:val="none" w:sz="0" w:space="11" w:color="E7E7E7"/>
                <w:bottom w:val="single" w:sz="6" w:space="0" w:color="D4E0E4"/>
                <w:right w:val="none" w:sz="0" w:space="11" w:color="E7E7E7"/>
              </w:divBdr>
              <w:divsChild>
                <w:div w:id="249850990">
                  <w:marLeft w:val="0"/>
                  <w:marRight w:val="0"/>
                  <w:marTop w:val="0"/>
                  <w:marBottom w:val="0"/>
                  <w:divBdr>
                    <w:top w:val="none" w:sz="0" w:space="0" w:color="auto"/>
                    <w:left w:val="none" w:sz="0" w:space="0" w:color="auto"/>
                    <w:bottom w:val="none" w:sz="0" w:space="0" w:color="auto"/>
                    <w:right w:val="none" w:sz="0" w:space="0" w:color="auto"/>
                  </w:divBdr>
                  <w:divsChild>
                    <w:div w:id="120004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66415">
      <w:bodyDiv w:val="1"/>
      <w:marLeft w:val="0"/>
      <w:marRight w:val="0"/>
      <w:marTop w:val="0"/>
      <w:marBottom w:val="0"/>
      <w:divBdr>
        <w:top w:val="none" w:sz="0" w:space="0" w:color="auto"/>
        <w:left w:val="none" w:sz="0" w:space="0" w:color="auto"/>
        <w:bottom w:val="none" w:sz="0" w:space="0" w:color="auto"/>
        <w:right w:val="none" w:sz="0" w:space="0" w:color="auto"/>
      </w:divBdr>
    </w:div>
    <w:div w:id="62608250">
      <w:bodyDiv w:val="1"/>
      <w:marLeft w:val="0"/>
      <w:marRight w:val="0"/>
      <w:marTop w:val="0"/>
      <w:marBottom w:val="0"/>
      <w:divBdr>
        <w:top w:val="none" w:sz="0" w:space="0" w:color="auto"/>
        <w:left w:val="none" w:sz="0" w:space="0" w:color="auto"/>
        <w:bottom w:val="none" w:sz="0" w:space="0" w:color="auto"/>
        <w:right w:val="none" w:sz="0" w:space="0" w:color="auto"/>
      </w:divBdr>
    </w:div>
    <w:div w:id="92825135">
      <w:bodyDiv w:val="1"/>
      <w:marLeft w:val="0"/>
      <w:marRight w:val="0"/>
      <w:marTop w:val="0"/>
      <w:marBottom w:val="0"/>
      <w:divBdr>
        <w:top w:val="none" w:sz="0" w:space="0" w:color="auto"/>
        <w:left w:val="none" w:sz="0" w:space="0" w:color="auto"/>
        <w:bottom w:val="none" w:sz="0" w:space="0" w:color="auto"/>
        <w:right w:val="none" w:sz="0" w:space="0" w:color="auto"/>
      </w:divBdr>
    </w:div>
    <w:div w:id="105078153">
      <w:bodyDiv w:val="1"/>
      <w:marLeft w:val="0"/>
      <w:marRight w:val="0"/>
      <w:marTop w:val="0"/>
      <w:marBottom w:val="0"/>
      <w:divBdr>
        <w:top w:val="none" w:sz="0" w:space="0" w:color="auto"/>
        <w:left w:val="none" w:sz="0" w:space="0" w:color="auto"/>
        <w:bottom w:val="none" w:sz="0" w:space="0" w:color="auto"/>
        <w:right w:val="none" w:sz="0" w:space="0" w:color="auto"/>
      </w:divBdr>
    </w:div>
    <w:div w:id="109931922">
      <w:bodyDiv w:val="1"/>
      <w:marLeft w:val="0"/>
      <w:marRight w:val="0"/>
      <w:marTop w:val="0"/>
      <w:marBottom w:val="0"/>
      <w:divBdr>
        <w:top w:val="none" w:sz="0" w:space="0" w:color="auto"/>
        <w:left w:val="none" w:sz="0" w:space="0" w:color="auto"/>
        <w:bottom w:val="none" w:sz="0" w:space="0" w:color="auto"/>
        <w:right w:val="none" w:sz="0" w:space="0" w:color="auto"/>
      </w:divBdr>
    </w:div>
    <w:div w:id="111825959">
      <w:bodyDiv w:val="1"/>
      <w:marLeft w:val="0"/>
      <w:marRight w:val="0"/>
      <w:marTop w:val="0"/>
      <w:marBottom w:val="0"/>
      <w:divBdr>
        <w:top w:val="none" w:sz="0" w:space="0" w:color="auto"/>
        <w:left w:val="none" w:sz="0" w:space="0" w:color="auto"/>
        <w:bottom w:val="none" w:sz="0" w:space="0" w:color="auto"/>
        <w:right w:val="none" w:sz="0" w:space="0" w:color="auto"/>
      </w:divBdr>
    </w:div>
    <w:div w:id="130951112">
      <w:bodyDiv w:val="1"/>
      <w:marLeft w:val="0"/>
      <w:marRight w:val="0"/>
      <w:marTop w:val="0"/>
      <w:marBottom w:val="0"/>
      <w:divBdr>
        <w:top w:val="none" w:sz="0" w:space="0" w:color="auto"/>
        <w:left w:val="none" w:sz="0" w:space="0" w:color="auto"/>
        <w:bottom w:val="none" w:sz="0" w:space="0" w:color="auto"/>
        <w:right w:val="none" w:sz="0" w:space="0" w:color="auto"/>
      </w:divBdr>
    </w:div>
    <w:div w:id="147140382">
      <w:bodyDiv w:val="1"/>
      <w:marLeft w:val="0"/>
      <w:marRight w:val="0"/>
      <w:marTop w:val="0"/>
      <w:marBottom w:val="0"/>
      <w:divBdr>
        <w:top w:val="none" w:sz="0" w:space="0" w:color="auto"/>
        <w:left w:val="none" w:sz="0" w:space="0" w:color="auto"/>
        <w:bottom w:val="none" w:sz="0" w:space="0" w:color="auto"/>
        <w:right w:val="none" w:sz="0" w:space="0" w:color="auto"/>
      </w:divBdr>
    </w:div>
    <w:div w:id="216939635">
      <w:bodyDiv w:val="1"/>
      <w:marLeft w:val="0"/>
      <w:marRight w:val="0"/>
      <w:marTop w:val="0"/>
      <w:marBottom w:val="0"/>
      <w:divBdr>
        <w:top w:val="none" w:sz="0" w:space="0" w:color="auto"/>
        <w:left w:val="none" w:sz="0" w:space="0" w:color="auto"/>
        <w:bottom w:val="none" w:sz="0" w:space="0" w:color="auto"/>
        <w:right w:val="none" w:sz="0" w:space="0" w:color="auto"/>
      </w:divBdr>
    </w:div>
    <w:div w:id="225916075">
      <w:bodyDiv w:val="1"/>
      <w:marLeft w:val="0"/>
      <w:marRight w:val="0"/>
      <w:marTop w:val="0"/>
      <w:marBottom w:val="0"/>
      <w:divBdr>
        <w:top w:val="none" w:sz="0" w:space="0" w:color="auto"/>
        <w:left w:val="none" w:sz="0" w:space="0" w:color="auto"/>
        <w:bottom w:val="none" w:sz="0" w:space="0" w:color="auto"/>
        <w:right w:val="none" w:sz="0" w:space="0" w:color="auto"/>
      </w:divBdr>
    </w:div>
    <w:div w:id="232745271">
      <w:bodyDiv w:val="1"/>
      <w:marLeft w:val="0"/>
      <w:marRight w:val="0"/>
      <w:marTop w:val="0"/>
      <w:marBottom w:val="0"/>
      <w:divBdr>
        <w:top w:val="none" w:sz="0" w:space="0" w:color="auto"/>
        <w:left w:val="none" w:sz="0" w:space="0" w:color="auto"/>
        <w:bottom w:val="none" w:sz="0" w:space="0" w:color="auto"/>
        <w:right w:val="none" w:sz="0" w:space="0" w:color="auto"/>
      </w:divBdr>
    </w:div>
    <w:div w:id="232938163">
      <w:bodyDiv w:val="1"/>
      <w:marLeft w:val="0"/>
      <w:marRight w:val="0"/>
      <w:marTop w:val="0"/>
      <w:marBottom w:val="0"/>
      <w:divBdr>
        <w:top w:val="none" w:sz="0" w:space="0" w:color="auto"/>
        <w:left w:val="none" w:sz="0" w:space="0" w:color="auto"/>
        <w:bottom w:val="none" w:sz="0" w:space="0" w:color="auto"/>
        <w:right w:val="none" w:sz="0" w:space="0" w:color="auto"/>
      </w:divBdr>
      <w:divsChild>
        <w:div w:id="843281733">
          <w:marLeft w:val="0"/>
          <w:marRight w:val="0"/>
          <w:marTop w:val="0"/>
          <w:marBottom w:val="0"/>
          <w:divBdr>
            <w:top w:val="none" w:sz="0" w:space="0" w:color="auto"/>
            <w:left w:val="none" w:sz="0" w:space="0" w:color="auto"/>
            <w:bottom w:val="none" w:sz="0" w:space="0" w:color="auto"/>
            <w:right w:val="none" w:sz="0" w:space="0" w:color="auto"/>
          </w:divBdr>
          <w:divsChild>
            <w:div w:id="1650549655">
              <w:marLeft w:val="0"/>
              <w:marRight w:val="0"/>
              <w:marTop w:val="2445"/>
              <w:marBottom w:val="0"/>
              <w:divBdr>
                <w:top w:val="none" w:sz="0" w:space="0" w:color="auto"/>
                <w:left w:val="none" w:sz="0" w:space="0" w:color="auto"/>
                <w:bottom w:val="none" w:sz="0" w:space="0" w:color="auto"/>
                <w:right w:val="none" w:sz="0" w:space="0" w:color="auto"/>
              </w:divBdr>
              <w:divsChild>
                <w:div w:id="1154032969">
                  <w:marLeft w:val="0"/>
                  <w:marRight w:val="0"/>
                  <w:marTop w:val="0"/>
                  <w:marBottom w:val="0"/>
                  <w:divBdr>
                    <w:top w:val="none" w:sz="0" w:space="0" w:color="auto"/>
                    <w:left w:val="none" w:sz="0" w:space="0" w:color="auto"/>
                    <w:bottom w:val="none" w:sz="0" w:space="0" w:color="auto"/>
                    <w:right w:val="none" w:sz="0" w:space="0" w:color="auto"/>
                  </w:divBdr>
                  <w:divsChild>
                    <w:div w:id="1380595711">
                      <w:marLeft w:val="0"/>
                      <w:marRight w:val="0"/>
                      <w:marTop w:val="0"/>
                      <w:marBottom w:val="0"/>
                      <w:divBdr>
                        <w:top w:val="none" w:sz="0" w:space="0" w:color="auto"/>
                        <w:left w:val="none" w:sz="0" w:space="0" w:color="auto"/>
                        <w:bottom w:val="none" w:sz="0" w:space="0" w:color="auto"/>
                        <w:right w:val="none" w:sz="0" w:space="0" w:color="auto"/>
                      </w:divBdr>
                      <w:divsChild>
                        <w:div w:id="836001981">
                          <w:marLeft w:val="0"/>
                          <w:marRight w:val="0"/>
                          <w:marTop w:val="0"/>
                          <w:marBottom w:val="0"/>
                          <w:divBdr>
                            <w:top w:val="none" w:sz="0" w:space="0" w:color="auto"/>
                            <w:left w:val="none" w:sz="0" w:space="0" w:color="auto"/>
                            <w:bottom w:val="none" w:sz="0" w:space="0" w:color="auto"/>
                            <w:right w:val="none" w:sz="0" w:space="0" w:color="auto"/>
                          </w:divBdr>
                          <w:divsChild>
                            <w:div w:id="2001537479">
                              <w:marLeft w:val="0"/>
                              <w:marRight w:val="0"/>
                              <w:marTop w:val="0"/>
                              <w:marBottom w:val="0"/>
                              <w:divBdr>
                                <w:top w:val="none" w:sz="0" w:space="0" w:color="auto"/>
                                <w:left w:val="none" w:sz="0" w:space="0" w:color="auto"/>
                                <w:bottom w:val="none" w:sz="0" w:space="0" w:color="auto"/>
                                <w:right w:val="none" w:sz="0" w:space="0" w:color="auto"/>
                              </w:divBdr>
                              <w:divsChild>
                                <w:div w:id="16470165">
                                  <w:marLeft w:val="0"/>
                                  <w:marRight w:val="0"/>
                                  <w:marTop w:val="0"/>
                                  <w:marBottom w:val="0"/>
                                  <w:divBdr>
                                    <w:top w:val="none" w:sz="0" w:space="0" w:color="auto"/>
                                    <w:left w:val="none" w:sz="0" w:space="0" w:color="auto"/>
                                    <w:bottom w:val="none" w:sz="0" w:space="0" w:color="auto"/>
                                    <w:right w:val="none" w:sz="0" w:space="0" w:color="auto"/>
                                  </w:divBdr>
                                  <w:divsChild>
                                    <w:div w:id="747114844">
                                      <w:marLeft w:val="0"/>
                                      <w:marRight w:val="0"/>
                                      <w:marTop w:val="0"/>
                                      <w:marBottom w:val="0"/>
                                      <w:divBdr>
                                        <w:top w:val="none" w:sz="0" w:space="0" w:color="auto"/>
                                        <w:left w:val="none" w:sz="0" w:space="0" w:color="auto"/>
                                        <w:bottom w:val="none" w:sz="0" w:space="0" w:color="auto"/>
                                        <w:right w:val="none" w:sz="0" w:space="0" w:color="auto"/>
                                      </w:divBdr>
                                      <w:divsChild>
                                        <w:div w:id="510798125">
                                          <w:marLeft w:val="0"/>
                                          <w:marRight w:val="0"/>
                                          <w:marTop w:val="0"/>
                                          <w:marBottom w:val="0"/>
                                          <w:divBdr>
                                            <w:top w:val="none" w:sz="0" w:space="0" w:color="auto"/>
                                            <w:left w:val="none" w:sz="0" w:space="0" w:color="auto"/>
                                            <w:bottom w:val="none" w:sz="0" w:space="0" w:color="auto"/>
                                            <w:right w:val="none" w:sz="0" w:space="0" w:color="auto"/>
                                          </w:divBdr>
                                          <w:divsChild>
                                            <w:div w:id="1382053453">
                                              <w:marLeft w:val="0"/>
                                              <w:marRight w:val="0"/>
                                              <w:marTop w:val="0"/>
                                              <w:marBottom w:val="0"/>
                                              <w:divBdr>
                                                <w:top w:val="none" w:sz="0" w:space="0" w:color="auto"/>
                                                <w:left w:val="none" w:sz="0" w:space="0" w:color="auto"/>
                                                <w:bottom w:val="none" w:sz="0" w:space="0" w:color="auto"/>
                                                <w:right w:val="none" w:sz="0" w:space="0" w:color="auto"/>
                                              </w:divBdr>
                                              <w:divsChild>
                                                <w:div w:id="1056659274">
                                                  <w:marLeft w:val="0"/>
                                                  <w:marRight w:val="0"/>
                                                  <w:marTop w:val="0"/>
                                                  <w:marBottom w:val="0"/>
                                                  <w:divBdr>
                                                    <w:top w:val="none" w:sz="0" w:space="0" w:color="auto"/>
                                                    <w:left w:val="none" w:sz="0" w:space="0" w:color="auto"/>
                                                    <w:bottom w:val="none" w:sz="0" w:space="0" w:color="auto"/>
                                                    <w:right w:val="none" w:sz="0" w:space="0" w:color="auto"/>
                                                  </w:divBdr>
                                                  <w:divsChild>
                                                    <w:div w:id="1272780591">
                                                      <w:marLeft w:val="0"/>
                                                      <w:marRight w:val="0"/>
                                                      <w:marTop w:val="0"/>
                                                      <w:marBottom w:val="0"/>
                                                      <w:divBdr>
                                                        <w:top w:val="none" w:sz="0" w:space="0" w:color="auto"/>
                                                        <w:left w:val="none" w:sz="0" w:space="0" w:color="auto"/>
                                                        <w:bottom w:val="none" w:sz="0" w:space="0" w:color="auto"/>
                                                        <w:right w:val="none" w:sz="0" w:space="0" w:color="auto"/>
                                                      </w:divBdr>
                                                    </w:div>
                                                    <w:div w:id="1945117073">
                                                      <w:marLeft w:val="0"/>
                                                      <w:marRight w:val="0"/>
                                                      <w:marTop w:val="0"/>
                                                      <w:marBottom w:val="0"/>
                                                      <w:divBdr>
                                                        <w:top w:val="none" w:sz="0" w:space="0" w:color="auto"/>
                                                        <w:left w:val="none" w:sz="0" w:space="0" w:color="auto"/>
                                                        <w:bottom w:val="none" w:sz="0" w:space="0" w:color="auto"/>
                                                        <w:right w:val="none" w:sz="0" w:space="0" w:color="auto"/>
                                                      </w:divBdr>
                                                      <w:divsChild>
                                                        <w:div w:id="1797914730">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027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4091">
                      <w:marLeft w:val="0"/>
                      <w:marRight w:val="0"/>
                      <w:marTop w:val="0"/>
                      <w:marBottom w:val="0"/>
                      <w:divBdr>
                        <w:top w:val="none" w:sz="0" w:space="0" w:color="auto"/>
                        <w:left w:val="none" w:sz="0" w:space="0" w:color="auto"/>
                        <w:bottom w:val="none" w:sz="0" w:space="0" w:color="auto"/>
                        <w:right w:val="none" w:sz="0" w:space="0" w:color="auto"/>
                      </w:divBdr>
                      <w:divsChild>
                        <w:div w:id="193836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748079">
          <w:marLeft w:val="0"/>
          <w:marRight w:val="0"/>
          <w:marTop w:val="0"/>
          <w:marBottom w:val="150"/>
          <w:divBdr>
            <w:top w:val="none" w:sz="0" w:space="0" w:color="auto"/>
            <w:left w:val="none" w:sz="0" w:space="0" w:color="auto"/>
            <w:bottom w:val="none" w:sz="0" w:space="0" w:color="auto"/>
            <w:right w:val="none" w:sz="0" w:space="0" w:color="auto"/>
          </w:divBdr>
          <w:divsChild>
            <w:div w:id="1744907994">
              <w:marLeft w:val="-225"/>
              <w:marRight w:val="0"/>
              <w:marTop w:val="0"/>
              <w:marBottom w:val="0"/>
              <w:divBdr>
                <w:top w:val="single" w:sz="6" w:space="0" w:color="D4E0E4"/>
                <w:left w:val="none" w:sz="0" w:space="11" w:color="E7E7E7"/>
                <w:bottom w:val="single" w:sz="6" w:space="0" w:color="D4E0E4"/>
                <w:right w:val="none" w:sz="0" w:space="11" w:color="E7E7E7"/>
              </w:divBdr>
              <w:divsChild>
                <w:div w:id="550656843">
                  <w:marLeft w:val="0"/>
                  <w:marRight w:val="0"/>
                  <w:marTop w:val="0"/>
                  <w:marBottom w:val="0"/>
                  <w:divBdr>
                    <w:top w:val="none" w:sz="0" w:space="0" w:color="auto"/>
                    <w:left w:val="none" w:sz="0" w:space="0" w:color="auto"/>
                    <w:bottom w:val="none" w:sz="0" w:space="0" w:color="auto"/>
                    <w:right w:val="none" w:sz="0" w:space="0" w:color="auto"/>
                  </w:divBdr>
                  <w:divsChild>
                    <w:div w:id="168428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283711">
      <w:bodyDiv w:val="1"/>
      <w:marLeft w:val="0"/>
      <w:marRight w:val="0"/>
      <w:marTop w:val="0"/>
      <w:marBottom w:val="0"/>
      <w:divBdr>
        <w:top w:val="none" w:sz="0" w:space="0" w:color="auto"/>
        <w:left w:val="none" w:sz="0" w:space="0" w:color="auto"/>
        <w:bottom w:val="none" w:sz="0" w:space="0" w:color="auto"/>
        <w:right w:val="none" w:sz="0" w:space="0" w:color="auto"/>
      </w:divBdr>
    </w:div>
    <w:div w:id="264193282">
      <w:bodyDiv w:val="1"/>
      <w:marLeft w:val="0"/>
      <w:marRight w:val="0"/>
      <w:marTop w:val="0"/>
      <w:marBottom w:val="0"/>
      <w:divBdr>
        <w:top w:val="none" w:sz="0" w:space="0" w:color="auto"/>
        <w:left w:val="none" w:sz="0" w:space="0" w:color="auto"/>
        <w:bottom w:val="none" w:sz="0" w:space="0" w:color="auto"/>
        <w:right w:val="none" w:sz="0" w:space="0" w:color="auto"/>
      </w:divBdr>
    </w:div>
    <w:div w:id="286158198">
      <w:bodyDiv w:val="1"/>
      <w:marLeft w:val="0"/>
      <w:marRight w:val="0"/>
      <w:marTop w:val="0"/>
      <w:marBottom w:val="0"/>
      <w:divBdr>
        <w:top w:val="none" w:sz="0" w:space="0" w:color="auto"/>
        <w:left w:val="none" w:sz="0" w:space="0" w:color="auto"/>
        <w:bottom w:val="none" w:sz="0" w:space="0" w:color="auto"/>
        <w:right w:val="none" w:sz="0" w:space="0" w:color="auto"/>
      </w:divBdr>
    </w:div>
    <w:div w:id="291786133">
      <w:bodyDiv w:val="1"/>
      <w:marLeft w:val="0"/>
      <w:marRight w:val="0"/>
      <w:marTop w:val="0"/>
      <w:marBottom w:val="0"/>
      <w:divBdr>
        <w:top w:val="none" w:sz="0" w:space="0" w:color="auto"/>
        <w:left w:val="none" w:sz="0" w:space="0" w:color="auto"/>
        <w:bottom w:val="none" w:sz="0" w:space="0" w:color="auto"/>
        <w:right w:val="none" w:sz="0" w:space="0" w:color="auto"/>
      </w:divBdr>
    </w:div>
    <w:div w:id="334193626">
      <w:bodyDiv w:val="1"/>
      <w:marLeft w:val="0"/>
      <w:marRight w:val="0"/>
      <w:marTop w:val="0"/>
      <w:marBottom w:val="0"/>
      <w:divBdr>
        <w:top w:val="none" w:sz="0" w:space="0" w:color="auto"/>
        <w:left w:val="none" w:sz="0" w:space="0" w:color="auto"/>
        <w:bottom w:val="none" w:sz="0" w:space="0" w:color="auto"/>
        <w:right w:val="none" w:sz="0" w:space="0" w:color="auto"/>
      </w:divBdr>
    </w:div>
    <w:div w:id="340935957">
      <w:bodyDiv w:val="1"/>
      <w:marLeft w:val="0"/>
      <w:marRight w:val="0"/>
      <w:marTop w:val="0"/>
      <w:marBottom w:val="0"/>
      <w:divBdr>
        <w:top w:val="none" w:sz="0" w:space="0" w:color="auto"/>
        <w:left w:val="none" w:sz="0" w:space="0" w:color="auto"/>
        <w:bottom w:val="none" w:sz="0" w:space="0" w:color="auto"/>
        <w:right w:val="none" w:sz="0" w:space="0" w:color="auto"/>
      </w:divBdr>
    </w:div>
    <w:div w:id="371997689">
      <w:bodyDiv w:val="1"/>
      <w:marLeft w:val="0"/>
      <w:marRight w:val="0"/>
      <w:marTop w:val="0"/>
      <w:marBottom w:val="0"/>
      <w:divBdr>
        <w:top w:val="none" w:sz="0" w:space="0" w:color="auto"/>
        <w:left w:val="none" w:sz="0" w:space="0" w:color="auto"/>
        <w:bottom w:val="none" w:sz="0" w:space="0" w:color="auto"/>
        <w:right w:val="none" w:sz="0" w:space="0" w:color="auto"/>
      </w:divBdr>
    </w:div>
    <w:div w:id="377438195">
      <w:bodyDiv w:val="1"/>
      <w:marLeft w:val="0"/>
      <w:marRight w:val="0"/>
      <w:marTop w:val="0"/>
      <w:marBottom w:val="0"/>
      <w:divBdr>
        <w:top w:val="none" w:sz="0" w:space="0" w:color="auto"/>
        <w:left w:val="none" w:sz="0" w:space="0" w:color="auto"/>
        <w:bottom w:val="none" w:sz="0" w:space="0" w:color="auto"/>
        <w:right w:val="none" w:sz="0" w:space="0" w:color="auto"/>
      </w:divBdr>
    </w:div>
    <w:div w:id="409691676">
      <w:bodyDiv w:val="1"/>
      <w:marLeft w:val="0"/>
      <w:marRight w:val="0"/>
      <w:marTop w:val="0"/>
      <w:marBottom w:val="0"/>
      <w:divBdr>
        <w:top w:val="none" w:sz="0" w:space="0" w:color="auto"/>
        <w:left w:val="none" w:sz="0" w:space="0" w:color="auto"/>
        <w:bottom w:val="none" w:sz="0" w:space="0" w:color="auto"/>
        <w:right w:val="none" w:sz="0" w:space="0" w:color="auto"/>
      </w:divBdr>
    </w:div>
    <w:div w:id="409816286">
      <w:bodyDiv w:val="1"/>
      <w:marLeft w:val="0"/>
      <w:marRight w:val="0"/>
      <w:marTop w:val="0"/>
      <w:marBottom w:val="0"/>
      <w:divBdr>
        <w:top w:val="none" w:sz="0" w:space="0" w:color="auto"/>
        <w:left w:val="none" w:sz="0" w:space="0" w:color="auto"/>
        <w:bottom w:val="none" w:sz="0" w:space="0" w:color="auto"/>
        <w:right w:val="none" w:sz="0" w:space="0" w:color="auto"/>
      </w:divBdr>
    </w:div>
    <w:div w:id="428088748">
      <w:bodyDiv w:val="1"/>
      <w:marLeft w:val="0"/>
      <w:marRight w:val="0"/>
      <w:marTop w:val="0"/>
      <w:marBottom w:val="0"/>
      <w:divBdr>
        <w:top w:val="none" w:sz="0" w:space="0" w:color="auto"/>
        <w:left w:val="none" w:sz="0" w:space="0" w:color="auto"/>
        <w:bottom w:val="none" w:sz="0" w:space="0" w:color="auto"/>
        <w:right w:val="none" w:sz="0" w:space="0" w:color="auto"/>
      </w:divBdr>
    </w:div>
    <w:div w:id="506676519">
      <w:bodyDiv w:val="1"/>
      <w:marLeft w:val="0"/>
      <w:marRight w:val="0"/>
      <w:marTop w:val="0"/>
      <w:marBottom w:val="0"/>
      <w:divBdr>
        <w:top w:val="none" w:sz="0" w:space="0" w:color="auto"/>
        <w:left w:val="none" w:sz="0" w:space="0" w:color="auto"/>
        <w:bottom w:val="none" w:sz="0" w:space="0" w:color="auto"/>
        <w:right w:val="none" w:sz="0" w:space="0" w:color="auto"/>
      </w:divBdr>
    </w:div>
    <w:div w:id="533008820">
      <w:bodyDiv w:val="1"/>
      <w:marLeft w:val="0"/>
      <w:marRight w:val="0"/>
      <w:marTop w:val="0"/>
      <w:marBottom w:val="0"/>
      <w:divBdr>
        <w:top w:val="none" w:sz="0" w:space="0" w:color="auto"/>
        <w:left w:val="none" w:sz="0" w:space="0" w:color="auto"/>
        <w:bottom w:val="none" w:sz="0" w:space="0" w:color="auto"/>
        <w:right w:val="none" w:sz="0" w:space="0" w:color="auto"/>
      </w:divBdr>
    </w:div>
    <w:div w:id="557057194">
      <w:bodyDiv w:val="1"/>
      <w:marLeft w:val="0"/>
      <w:marRight w:val="0"/>
      <w:marTop w:val="0"/>
      <w:marBottom w:val="0"/>
      <w:divBdr>
        <w:top w:val="none" w:sz="0" w:space="0" w:color="auto"/>
        <w:left w:val="none" w:sz="0" w:space="0" w:color="auto"/>
        <w:bottom w:val="none" w:sz="0" w:space="0" w:color="auto"/>
        <w:right w:val="none" w:sz="0" w:space="0" w:color="auto"/>
      </w:divBdr>
    </w:div>
    <w:div w:id="566841353">
      <w:bodyDiv w:val="1"/>
      <w:marLeft w:val="0"/>
      <w:marRight w:val="0"/>
      <w:marTop w:val="0"/>
      <w:marBottom w:val="0"/>
      <w:divBdr>
        <w:top w:val="none" w:sz="0" w:space="0" w:color="auto"/>
        <w:left w:val="none" w:sz="0" w:space="0" w:color="auto"/>
        <w:bottom w:val="none" w:sz="0" w:space="0" w:color="auto"/>
        <w:right w:val="none" w:sz="0" w:space="0" w:color="auto"/>
      </w:divBdr>
    </w:div>
    <w:div w:id="579872575">
      <w:bodyDiv w:val="1"/>
      <w:marLeft w:val="0"/>
      <w:marRight w:val="0"/>
      <w:marTop w:val="0"/>
      <w:marBottom w:val="0"/>
      <w:divBdr>
        <w:top w:val="none" w:sz="0" w:space="0" w:color="auto"/>
        <w:left w:val="none" w:sz="0" w:space="0" w:color="auto"/>
        <w:bottom w:val="none" w:sz="0" w:space="0" w:color="auto"/>
        <w:right w:val="none" w:sz="0" w:space="0" w:color="auto"/>
      </w:divBdr>
    </w:div>
    <w:div w:id="589703681">
      <w:bodyDiv w:val="1"/>
      <w:marLeft w:val="0"/>
      <w:marRight w:val="0"/>
      <w:marTop w:val="0"/>
      <w:marBottom w:val="0"/>
      <w:divBdr>
        <w:top w:val="none" w:sz="0" w:space="0" w:color="auto"/>
        <w:left w:val="none" w:sz="0" w:space="0" w:color="auto"/>
        <w:bottom w:val="none" w:sz="0" w:space="0" w:color="auto"/>
        <w:right w:val="none" w:sz="0" w:space="0" w:color="auto"/>
      </w:divBdr>
    </w:div>
    <w:div w:id="657075601">
      <w:bodyDiv w:val="1"/>
      <w:marLeft w:val="0"/>
      <w:marRight w:val="0"/>
      <w:marTop w:val="0"/>
      <w:marBottom w:val="0"/>
      <w:divBdr>
        <w:top w:val="none" w:sz="0" w:space="0" w:color="auto"/>
        <w:left w:val="none" w:sz="0" w:space="0" w:color="auto"/>
        <w:bottom w:val="none" w:sz="0" w:space="0" w:color="auto"/>
        <w:right w:val="none" w:sz="0" w:space="0" w:color="auto"/>
      </w:divBdr>
    </w:div>
    <w:div w:id="657226681">
      <w:bodyDiv w:val="1"/>
      <w:marLeft w:val="0"/>
      <w:marRight w:val="0"/>
      <w:marTop w:val="0"/>
      <w:marBottom w:val="0"/>
      <w:divBdr>
        <w:top w:val="none" w:sz="0" w:space="0" w:color="auto"/>
        <w:left w:val="none" w:sz="0" w:space="0" w:color="auto"/>
        <w:bottom w:val="none" w:sz="0" w:space="0" w:color="auto"/>
        <w:right w:val="none" w:sz="0" w:space="0" w:color="auto"/>
      </w:divBdr>
    </w:div>
    <w:div w:id="684669068">
      <w:bodyDiv w:val="1"/>
      <w:marLeft w:val="0"/>
      <w:marRight w:val="0"/>
      <w:marTop w:val="0"/>
      <w:marBottom w:val="0"/>
      <w:divBdr>
        <w:top w:val="none" w:sz="0" w:space="0" w:color="auto"/>
        <w:left w:val="none" w:sz="0" w:space="0" w:color="auto"/>
        <w:bottom w:val="none" w:sz="0" w:space="0" w:color="auto"/>
        <w:right w:val="none" w:sz="0" w:space="0" w:color="auto"/>
      </w:divBdr>
    </w:div>
    <w:div w:id="717559224">
      <w:bodyDiv w:val="1"/>
      <w:marLeft w:val="0"/>
      <w:marRight w:val="0"/>
      <w:marTop w:val="0"/>
      <w:marBottom w:val="0"/>
      <w:divBdr>
        <w:top w:val="none" w:sz="0" w:space="0" w:color="auto"/>
        <w:left w:val="none" w:sz="0" w:space="0" w:color="auto"/>
        <w:bottom w:val="none" w:sz="0" w:space="0" w:color="auto"/>
        <w:right w:val="none" w:sz="0" w:space="0" w:color="auto"/>
      </w:divBdr>
    </w:div>
    <w:div w:id="720203421">
      <w:bodyDiv w:val="1"/>
      <w:marLeft w:val="0"/>
      <w:marRight w:val="0"/>
      <w:marTop w:val="0"/>
      <w:marBottom w:val="0"/>
      <w:divBdr>
        <w:top w:val="none" w:sz="0" w:space="0" w:color="auto"/>
        <w:left w:val="none" w:sz="0" w:space="0" w:color="auto"/>
        <w:bottom w:val="none" w:sz="0" w:space="0" w:color="auto"/>
        <w:right w:val="none" w:sz="0" w:space="0" w:color="auto"/>
      </w:divBdr>
    </w:div>
    <w:div w:id="734008375">
      <w:bodyDiv w:val="1"/>
      <w:marLeft w:val="0"/>
      <w:marRight w:val="0"/>
      <w:marTop w:val="0"/>
      <w:marBottom w:val="0"/>
      <w:divBdr>
        <w:top w:val="none" w:sz="0" w:space="0" w:color="auto"/>
        <w:left w:val="none" w:sz="0" w:space="0" w:color="auto"/>
        <w:bottom w:val="none" w:sz="0" w:space="0" w:color="auto"/>
        <w:right w:val="none" w:sz="0" w:space="0" w:color="auto"/>
      </w:divBdr>
    </w:div>
    <w:div w:id="841243594">
      <w:bodyDiv w:val="1"/>
      <w:marLeft w:val="0"/>
      <w:marRight w:val="0"/>
      <w:marTop w:val="0"/>
      <w:marBottom w:val="0"/>
      <w:divBdr>
        <w:top w:val="none" w:sz="0" w:space="0" w:color="auto"/>
        <w:left w:val="none" w:sz="0" w:space="0" w:color="auto"/>
        <w:bottom w:val="none" w:sz="0" w:space="0" w:color="auto"/>
        <w:right w:val="none" w:sz="0" w:space="0" w:color="auto"/>
      </w:divBdr>
    </w:div>
    <w:div w:id="854462601">
      <w:bodyDiv w:val="1"/>
      <w:marLeft w:val="0"/>
      <w:marRight w:val="0"/>
      <w:marTop w:val="0"/>
      <w:marBottom w:val="0"/>
      <w:divBdr>
        <w:top w:val="none" w:sz="0" w:space="0" w:color="auto"/>
        <w:left w:val="none" w:sz="0" w:space="0" w:color="auto"/>
        <w:bottom w:val="none" w:sz="0" w:space="0" w:color="auto"/>
        <w:right w:val="none" w:sz="0" w:space="0" w:color="auto"/>
      </w:divBdr>
    </w:div>
    <w:div w:id="857738281">
      <w:bodyDiv w:val="1"/>
      <w:marLeft w:val="0"/>
      <w:marRight w:val="0"/>
      <w:marTop w:val="0"/>
      <w:marBottom w:val="0"/>
      <w:divBdr>
        <w:top w:val="none" w:sz="0" w:space="0" w:color="auto"/>
        <w:left w:val="none" w:sz="0" w:space="0" w:color="auto"/>
        <w:bottom w:val="none" w:sz="0" w:space="0" w:color="auto"/>
        <w:right w:val="none" w:sz="0" w:space="0" w:color="auto"/>
      </w:divBdr>
    </w:div>
    <w:div w:id="863832954">
      <w:bodyDiv w:val="1"/>
      <w:marLeft w:val="0"/>
      <w:marRight w:val="0"/>
      <w:marTop w:val="0"/>
      <w:marBottom w:val="0"/>
      <w:divBdr>
        <w:top w:val="none" w:sz="0" w:space="0" w:color="auto"/>
        <w:left w:val="none" w:sz="0" w:space="0" w:color="auto"/>
        <w:bottom w:val="none" w:sz="0" w:space="0" w:color="auto"/>
        <w:right w:val="none" w:sz="0" w:space="0" w:color="auto"/>
      </w:divBdr>
    </w:div>
    <w:div w:id="922490579">
      <w:bodyDiv w:val="1"/>
      <w:marLeft w:val="0"/>
      <w:marRight w:val="0"/>
      <w:marTop w:val="0"/>
      <w:marBottom w:val="0"/>
      <w:divBdr>
        <w:top w:val="none" w:sz="0" w:space="0" w:color="auto"/>
        <w:left w:val="none" w:sz="0" w:space="0" w:color="auto"/>
        <w:bottom w:val="none" w:sz="0" w:space="0" w:color="auto"/>
        <w:right w:val="none" w:sz="0" w:space="0" w:color="auto"/>
      </w:divBdr>
    </w:div>
    <w:div w:id="922836755">
      <w:bodyDiv w:val="1"/>
      <w:marLeft w:val="0"/>
      <w:marRight w:val="0"/>
      <w:marTop w:val="0"/>
      <w:marBottom w:val="0"/>
      <w:divBdr>
        <w:top w:val="none" w:sz="0" w:space="0" w:color="auto"/>
        <w:left w:val="none" w:sz="0" w:space="0" w:color="auto"/>
        <w:bottom w:val="none" w:sz="0" w:space="0" w:color="auto"/>
        <w:right w:val="none" w:sz="0" w:space="0" w:color="auto"/>
      </w:divBdr>
    </w:div>
    <w:div w:id="931011928">
      <w:bodyDiv w:val="1"/>
      <w:marLeft w:val="0"/>
      <w:marRight w:val="0"/>
      <w:marTop w:val="0"/>
      <w:marBottom w:val="0"/>
      <w:divBdr>
        <w:top w:val="none" w:sz="0" w:space="0" w:color="auto"/>
        <w:left w:val="none" w:sz="0" w:space="0" w:color="auto"/>
        <w:bottom w:val="none" w:sz="0" w:space="0" w:color="auto"/>
        <w:right w:val="none" w:sz="0" w:space="0" w:color="auto"/>
      </w:divBdr>
    </w:div>
    <w:div w:id="933048676">
      <w:bodyDiv w:val="1"/>
      <w:marLeft w:val="0"/>
      <w:marRight w:val="0"/>
      <w:marTop w:val="0"/>
      <w:marBottom w:val="0"/>
      <w:divBdr>
        <w:top w:val="none" w:sz="0" w:space="0" w:color="auto"/>
        <w:left w:val="none" w:sz="0" w:space="0" w:color="auto"/>
        <w:bottom w:val="none" w:sz="0" w:space="0" w:color="auto"/>
        <w:right w:val="none" w:sz="0" w:space="0" w:color="auto"/>
      </w:divBdr>
    </w:div>
    <w:div w:id="955792063">
      <w:bodyDiv w:val="1"/>
      <w:marLeft w:val="0"/>
      <w:marRight w:val="0"/>
      <w:marTop w:val="0"/>
      <w:marBottom w:val="0"/>
      <w:divBdr>
        <w:top w:val="none" w:sz="0" w:space="0" w:color="auto"/>
        <w:left w:val="none" w:sz="0" w:space="0" w:color="auto"/>
        <w:bottom w:val="none" w:sz="0" w:space="0" w:color="auto"/>
        <w:right w:val="none" w:sz="0" w:space="0" w:color="auto"/>
      </w:divBdr>
      <w:divsChild>
        <w:div w:id="2012290939">
          <w:marLeft w:val="0"/>
          <w:marRight w:val="0"/>
          <w:marTop w:val="0"/>
          <w:marBottom w:val="0"/>
          <w:divBdr>
            <w:top w:val="none" w:sz="0" w:space="0" w:color="auto"/>
            <w:left w:val="none" w:sz="0" w:space="0" w:color="auto"/>
            <w:bottom w:val="none" w:sz="0" w:space="0" w:color="auto"/>
            <w:right w:val="none" w:sz="0" w:space="0" w:color="auto"/>
          </w:divBdr>
          <w:divsChild>
            <w:div w:id="846405884">
              <w:marLeft w:val="0"/>
              <w:marRight w:val="0"/>
              <w:marTop w:val="2445"/>
              <w:marBottom w:val="0"/>
              <w:divBdr>
                <w:top w:val="none" w:sz="0" w:space="0" w:color="auto"/>
                <w:left w:val="none" w:sz="0" w:space="0" w:color="auto"/>
                <w:bottom w:val="none" w:sz="0" w:space="0" w:color="auto"/>
                <w:right w:val="none" w:sz="0" w:space="0" w:color="auto"/>
              </w:divBdr>
              <w:divsChild>
                <w:div w:id="478306138">
                  <w:marLeft w:val="0"/>
                  <w:marRight w:val="0"/>
                  <w:marTop w:val="0"/>
                  <w:marBottom w:val="0"/>
                  <w:divBdr>
                    <w:top w:val="none" w:sz="0" w:space="0" w:color="auto"/>
                    <w:left w:val="none" w:sz="0" w:space="0" w:color="auto"/>
                    <w:bottom w:val="none" w:sz="0" w:space="0" w:color="auto"/>
                    <w:right w:val="none" w:sz="0" w:space="0" w:color="auto"/>
                  </w:divBdr>
                  <w:divsChild>
                    <w:div w:id="359013502">
                      <w:marLeft w:val="0"/>
                      <w:marRight w:val="0"/>
                      <w:marTop w:val="0"/>
                      <w:marBottom w:val="0"/>
                      <w:divBdr>
                        <w:top w:val="none" w:sz="0" w:space="0" w:color="auto"/>
                        <w:left w:val="none" w:sz="0" w:space="0" w:color="auto"/>
                        <w:bottom w:val="none" w:sz="0" w:space="0" w:color="auto"/>
                        <w:right w:val="none" w:sz="0" w:space="0" w:color="auto"/>
                      </w:divBdr>
                      <w:divsChild>
                        <w:div w:id="945580637">
                          <w:marLeft w:val="0"/>
                          <w:marRight w:val="0"/>
                          <w:marTop w:val="0"/>
                          <w:marBottom w:val="0"/>
                          <w:divBdr>
                            <w:top w:val="none" w:sz="0" w:space="0" w:color="auto"/>
                            <w:left w:val="none" w:sz="0" w:space="0" w:color="auto"/>
                            <w:bottom w:val="none" w:sz="0" w:space="0" w:color="auto"/>
                            <w:right w:val="none" w:sz="0" w:space="0" w:color="auto"/>
                          </w:divBdr>
                          <w:divsChild>
                            <w:div w:id="919411515">
                              <w:marLeft w:val="0"/>
                              <w:marRight w:val="0"/>
                              <w:marTop w:val="0"/>
                              <w:marBottom w:val="0"/>
                              <w:divBdr>
                                <w:top w:val="none" w:sz="0" w:space="0" w:color="auto"/>
                                <w:left w:val="none" w:sz="0" w:space="0" w:color="auto"/>
                                <w:bottom w:val="none" w:sz="0" w:space="0" w:color="auto"/>
                                <w:right w:val="none" w:sz="0" w:space="0" w:color="auto"/>
                              </w:divBdr>
                              <w:divsChild>
                                <w:div w:id="1050767798">
                                  <w:marLeft w:val="0"/>
                                  <w:marRight w:val="0"/>
                                  <w:marTop w:val="0"/>
                                  <w:marBottom w:val="0"/>
                                  <w:divBdr>
                                    <w:top w:val="none" w:sz="0" w:space="0" w:color="auto"/>
                                    <w:left w:val="none" w:sz="0" w:space="0" w:color="auto"/>
                                    <w:bottom w:val="none" w:sz="0" w:space="0" w:color="auto"/>
                                    <w:right w:val="none" w:sz="0" w:space="0" w:color="auto"/>
                                  </w:divBdr>
                                </w:div>
                                <w:div w:id="1928801668">
                                  <w:marLeft w:val="0"/>
                                  <w:marRight w:val="0"/>
                                  <w:marTop w:val="0"/>
                                  <w:marBottom w:val="0"/>
                                  <w:divBdr>
                                    <w:top w:val="none" w:sz="0" w:space="0" w:color="auto"/>
                                    <w:left w:val="none" w:sz="0" w:space="0" w:color="auto"/>
                                    <w:bottom w:val="none" w:sz="0" w:space="0" w:color="auto"/>
                                    <w:right w:val="none" w:sz="0" w:space="0" w:color="auto"/>
                                  </w:divBdr>
                                  <w:divsChild>
                                    <w:div w:id="31660597">
                                      <w:marLeft w:val="0"/>
                                      <w:marRight w:val="0"/>
                                      <w:marTop w:val="0"/>
                                      <w:marBottom w:val="0"/>
                                      <w:divBdr>
                                        <w:top w:val="none" w:sz="0" w:space="0" w:color="auto"/>
                                        <w:left w:val="none" w:sz="0" w:space="0" w:color="auto"/>
                                        <w:bottom w:val="none" w:sz="0" w:space="0" w:color="auto"/>
                                        <w:right w:val="none" w:sz="0" w:space="0" w:color="auto"/>
                                      </w:divBdr>
                                      <w:divsChild>
                                        <w:div w:id="58135196">
                                          <w:marLeft w:val="0"/>
                                          <w:marRight w:val="0"/>
                                          <w:marTop w:val="0"/>
                                          <w:marBottom w:val="0"/>
                                          <w:divBdr>
                                            <w:top w:val="none" w:sz="0" w:space="0" w:color="auto"/>
                                            <w:left w:val="none" w:sz="0" w:space="0" w:color="auto"/>
                                            <w:bottom w:val="none" w:sz="0" w:space="0" w:color="auto"/>
                                            <w:right w:val="none" w:sz="0" w:space="0" w:color="auto"/>
                                          </w:divBdr>
                                          <w:divsChild>
                                            <w:div w:id="1572930941">
                                              <w:marLeft w:val="0"/>
                                              <w:marRight w:val="0"/>
                                              <w:marTop w:val="0"/>
                                              <w:marBottom w:val="0"/>
                                              <w:divBdr>
                                                <w:top w:val="none" w:sz="0" w:space="0" w:color="auto"/>
                                                <w:left w:val="none" w:sz="0" w:space="0" w:color="auto"/>
                                                <w:bottom w:val="none" w:sz="0" w:space="0" w:color="auto"/>
                                                <w:right w:val="none" w:sz="0" w:space="0" w:color="auto"/>
                                              </w:divBdr>
                                              <w:divsChild>
                                                <w:div w:id="1458379517">
                                                  <w:marLeft w:val="0"/>
                                                  <w:marRight w:val="0"/>
                                                  <w:marTop w:val="0"/>
                                                  <w:marBottom w:val="0"/>
                                                  <w:divBdr>
                                                    <w:top w:val="none" w:sz="0" w:space="0" w:color="auto"/>
                                                    <w:left w:val="none" w:sz="0" w:space="0" w:color="auto"/>
                                                    <w:bottom w:val="none" w:sz="0" w:space="0" w:color="auto"/>
                                                    <w:right w:val="none" w:sz="0" w:space="0" w:color="auto"/>
                                                  </w:divBdr>
                                                  <w:divsChild>
                                                    <w:div w:id="1901751421">
                                                      <w:marLeft w:val="0"/>
                                                      <w:marRight w:val="0"/>
                                                      <w:marTop w:val="0"/>
                                                      <w:marBottom w:val="0"/>
                                                      <w:divBdr>
                                                        <w:top w:val="none" w:sz="0" w:space="0" w:color="auto"/>
                                                        <w:left w:val="none" w:sz="0" w:space="0" w:color="auto"/>
                                                        <w:bottom w:val="none" w:sz="0" w:space="0" w:color="auto"/>
                                                        <w:right w:val="none" w:sz="0" w:space="0" w:color="auto"/>
                                                      </w:divBdr>
                                                    </w:div>
                                                    <w:div w:id="2127381948">
                                                      <w:marLeft w:val="0"/>
                                                      <w:marRight w:val="0"/>
                                                      <w:marTop w:val="0"/>
                                                      <w:marBottom w:val="0"/>
                                                      <w:divBdr>
                                                        <w:top w:val="none" w:sz="0" w:space="0" w:color="auto"/>
                                                        <w:left w:val="none" w:sz="0" w:space="0" w:color="auto"/>
                                                        <w:bottom w:val="none" w:sz="0" w:space="0" w:color="auto"/>
                                                        <w:right w:val="none" w:sz="0" w:space="0" w:color="auto"/>
                                                      </w:divBdr>
                                                      <w:divsChild>
                                                        <w:div w:id="437914374">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9503566">
                      <w:marLeft w:val="0"/>
                      <w:marRight w:val="0"/>
                      <w:marTop w:val="0"/>
                      <w:marBottom w:val="0"/>
                      <w:divBdr>
                        <w:top w:val="none" w:sz="0" w:space="0" w:color="auto"/>
                        <w:left w:val="none" w:sz="0" w:space="0" w:color="auto"/>
                        <w:bottom w:val="none" w:sz="0" w:space="0" w:color="auto"/>
                        <w:right w:val="none" w:sz="0" w:space="0" w:color="auto"/>
                      </w:divBdr>
                      <w:divsChild>
                        <w:div w:id="200392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075663">
          <w:marLeft w:val="0"/>
          <w:marRight w:val="0"/>
          <w:marTop w:val="0"/>
          <w:marBottom w:val="150"/>
          <w:divBdr>
            <w:top w:val="none" w:sz="0" w:space="0" w:color="auto"/>
            <w:left w:val="none" w:sz="0" w:space="0" w:color="auto"/>
            <w:bottom w:val="none" w:sz="0" w:space="0" w:color="auto"/>
            <w:right w:val="none" w:sz="0" w:space="0" w:color="auto"/>
          </w:divBdr>
          <w:divsChild>
            <w:div w:id="158355591">
              <w:marLeft w:val="-225"/>
              <w:marRight w:val="0"/>
              <w:marTop w:val="0"/>
              <w:marBottom w:val="0"/>
              <w:divBdr>
                <w:top w:val="single" w:sz="6" w:space="0" w:color="D4E0E4"/>
                <w:left w:val="none" w:sz="0" w:space="11" w:color="E7E7E7"/>
                <w:bottom w:val="single" w:sz="6" w:space="0" w:color="D4E0E4"/>
                <w:right w:val="none" w:sz="0" w:space="11" w:color="E7E7E7"/>
              </w:divBdr>
              <w:divsChild>
                <w:div w:id="978606203">
                  <w:marLeft w:val="0"/>
                  <w:marRight w:val="0"/>
                  <w:marTop w:val="0"/>
                  <w:marBottom w:val="0"/>
                  <w:divBdr>
                    <w:top w:val="none" w:sz="0" w:space="0" w:color="auto"/>
                    <w:left w:val="none" w:sz="0" w:space="0" w:color="auto"/>
                    <w:bottom w:val="none" w:sz="0" w:space="0" w:color="auto"/>
                    <w:right w:val="none" w:sz="0" w:space="0" w:color="auto"/>
                  </w:divBdr>
                  <w:divsChild>
                    <w:div w:id="131198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718580">
      <w:bodyDiv w:val="1"/>
      <w:marLeft w:val="0"/>
      <w:marRight w:val="0"/>
      <w:marTop w:val="0"/>
      <w:marBottom w:val="0"/>
      <w:divBdr>
        <w:top w:val="none" w:sz="0" w:space="0" w:color="auto"/>
        <w:left w:val="none" w:sz="0" w:space="0" w:color="auto"/>
        <w:bottom w:val="none" w:sz="0" w:space="0" w:color="auto"/>
        <w:right w:val="none" w:sz="0" w:space="0" w:color="auto"/>
      </w:divBdr>
    </w:div>
    <w:div w:id="1007172455">
      <w:bodyDiv w:val="1"/>
      <w:marLeft w:val="0"/>
      <w:marRight w:val="0"/>
      <w:marTop w:val="0"/>
      <w:marBottom w:val="0"/>
      <w:divBdr>
        <w:top w:val="none" w:sz="0" w:space="0" w:color="auto"/>
        <w:left w:val="none" w:sz="0" w:space="0" w:color="auto"/>
        <w:bottom w:val="none" w:sz="0" w:space="0" w:color="auto"/>
        <w:right w:val="none" w:sz="0" w:space="0" w:color="auto"/>
      </w:divBdr>
    </w:div>
    <w:div w:id="1012029682">
      <w:bodyDiv w:val="1"/>
      <w:marLeft w:val="0"/>
      <w:marRight w:val="0"/>
      <w:marTop w:val="0"/>
      <w:marBottom w:val="0"/>
      <w:divBdr>
        <w:top w:val="none" w:sz="0" w:space="0" w:color="auto"/>
        <w:left w:val="none" w:sz="0" w:space="0" w:color="auto"/>
        <w:bottom w:val="none" w:sz="0" w:space="0" w:color="auto"/>
        <w:right w:val="none" w:sz="0" w:space="0" w:color="auto"/>
      </w:divBdr>
    </w:div>
    <w:div w:id="1026179268">
      <w:bodyDiv w:val="1"/>
      <w:marLeft w:val="0"/>
      <w:marRight w:val="0"/>
      <w:marTop w:val="0"/>
      <w:marBottom w:val="0"/>
      <w:divBdr>
        <w:top w:val="none" w:sz="0" w:space="0" w:color="auto"/>
        <w:left w:val="none" w:sz="0" w:space="0" w:color="auto"/>
        <w:bottom w:val="none" w:sz="0" w:space="0" w:color="auto"/>
        <w:right w:val="none" w:sz="0" w:space="0" w:color="auto"/>
      </w:divBdr>
    </w:div>
    <w:div w:id="1032267422">
      <w:bodyDiv w:val="1"/>
      <w:marLeft w:val="0"/>
      <w:marRight w:val="0"/>
      <w:marTop w:val="0"/>
      <w:marBottom w:val="0"/>
      <w:divBdr>
        <w:top w:val="none" w:sz="0" w:space="0" w:color="auto"/>
        <w:left w:val="none" w:sz="0" w:space="0" w:color="auto"/>
        <w:bottom w:val="none" w:sz="0" w:space="0" w:color="auto"/>
        <w:right w:val="none" w:sz="0" w:space="0" w:color="auto"/>
      </w:divBdr>
    </w:div>
    <w:div w:id="1050769209">
      <w:bodyDiv w:val="1"/>
      <w:marLeft w:val="0"/>
      <w:marRight w:val="0"/>
      <w:marTop w:val="0"/>
      <w:marBottom w:val="0"/>
      <w:divBdr>
        <w:top w:val="none" w:sz="0" w:space="0" w:color="auto"/>
        <w:left w:val="none" w:sz="0" w:space="0" w:color="auto"/>
        <w:bottom w:val="none" w:sz="0" w:space="0" w:color="auto"/>
        <w:right w:val="none" w:sz="0" w:space="0" w:color="auto"/>
      </w:divBdr>
    </w:div>
    <w:div w:id="1055546794">
      <w:bodyDiv w:val="1"/>
      <w:marLeft w:val="0"/>
      <w:marRight w:val="0"/>
      <w:marTop w:val="0"/>
      <w:marBottom w:val="0"/>
      <w:divBdr>
        <w:top w:val="none" w:sz="0" w:space="0" w:color="auto"/>
        <w:left w:val="none" w:sz="0" w:space="0" w:color="auto"/>
        <w:bottom w:val="none" w:sz="0" w:space="0" w:color="auto"/>
        <w:right w:val="none" w:sz="0" w:space="0" w:color="auto"/>
      </w:divBdr>
    </w:div>
    <w:div w:id="1064794892">
      <w:bodyDiv w:val="1"/>
      <w:marLeft w:val="0"/>
      <w:marRight w:val="0"/>
      <w:marTop w:val="0"/>
      <w:marBottom w:val="0"/>
      <w:divBdr>
        <w:top w:val="none" w:sz="0" w:space="0" w:color="auto"/>
        <w:left w:val="none" w:sz="0" w:space="0" w:color="auto"/>
        <w:bottom w:val="none" w:sz="0" w:space="0" w:color="auto"/>
        <w:right w:val="none" w:sz="0" w:space="0" w:color="auto"/>
      </w:divBdr>
    </w:div>
    <w:div w:id="1084450802">
      <w:bodyDiv w:val="1"/>
      <w:marLeft w:val="0"/>
      <w:marRight w:val="0"/>
      <w:marTop w:val="0"/>
      <w:marBottom w:val="0"/>
      <w:divBdr>
        <w:top w:val="none" w:sz="0" w:space="0" w:color="auto"/>
        <w:left w:val="none" w:sz="0" w:space="0" w:color="auto"/>
        <w:bottom w:val="none" w:sz="0" w:space="0" w:color="auto"/>
        <w:right w:val="none" w:sz="0" w:space="0" w:color="auto"/>
      </w:divBdr>
    </w:div>
    <w:div w:id="1104031631">
      <w:bodyDiv w:val="1"/>
      <w:marLeft w:val="0"/>
      <w:marRight w:val="0"/>
      <w:marTop w:val="0"/>
      <w:marBottom w:val="0"/>
      <w:divBdr>
        <w:top w:val="none" w:sz="0" w:space="0" w:color="auto"/>
        <w:left w:val="none" w:sz="0" w:space="0" w:color="auto"/>
        <w:bottom w:val="none" w:sz="0" w:space="0" w:color="auto"/>
        <w:right w:val="none" w:sz="0" w:space="0" w:color="auto"/>
      </w:divBdr>
    </w:div>
    <w:div w:id="1106660145">
      <w:bodyDiv w:val="1"/>
      <w:marLeft w:val="0"/>
      <w:marRight w:val="0"/>
      <w:marTop w:val="0"/>
      <w:marBottom w:val="0"/>
      <w:divBdr>
        <w:top w:val="none" w:sz="0" w:space="0" w:color="auto"/>
        <w:left w:val="none" w:sz="0" w:space="0" w:color="auto"/>
        <w:bottom w:val="none" w:sz="0" w:space="0" w:color="auto"/>
        <w:right w:val="none" w:sz="0" w:space="0" w:color="auto"/>
      </w:divBdr>
    </w:div>
    <w:div w:id="1142232399">
      <w:bodyDiv w:val="1"/>
      <w:marLeft w:val="0"/>
      <w:marRight w:val="0"/>
      <w:marTop w:val="0"/>
      <w:marBottom w:val="0"/>
      <w:divBdr>
        <w:top w:val="none" w:sz="0" w:space="0" w:color="auto"/>
        <w:left w:val="none" w:sz="0" w:space="0" w:color="auto"/>
        <w:bottom w:val="none" w:sz="0" w:space="0" w:color="auto"/>
        <w:right w:val="none" w:sz="0" w:space="0" w:color="auto"/>
      </w:divBdr>
    </w:div>
    <w:div w:id="1144735838">
      <w:bodyDiv w:val="1"/>
      <w:marLeft w:val="0"/>
      <w:marRight w:val="0"/>
      <w:marTop w:val="0"/>
      <w:marBottom w:val="0"/>
      <w:divBdr>
        <w:top w:val="none" w:sz="0" w:space="0" w:color="auto"/>
        <w:left w:val="none" w:sz="0" w:space="0" w:color="auto"/>
        <w:bottom w:val="none" w:sz="0" w:space="0" w:color="auto"/>
        <w:right w:val="none" w:sz="0" w:space="0" w:color="auto"/>
      </w:divBdr>
    </w:div>
    <w:div w:id="1150902489">
      <w:bodyDiv w:val="1"/>
      <w:marLeft w:val="0"/>
      <w:marRight w:val="0"/>
      <w:marTop w:val="0"/>
      <w:marBottom w:val="0"/>
      <w:divBdr>
        <w:top w:val="none" w:sz="0" w:space="0" w:color="auto"/>
        <w:left w:val="none" w:sz="0" w:space="0" w:color="auto"/>
        <w:bottom w:val="none" w:sz="0" w:space="0" w:color="auto"/>
        <w:right w:val="none" w:sz="0" w:space="0" w:color="auto"/>
      </w:divBdr>
      <w:divsChild>
        <w:div w:id="1448155403">
          <w:marLeft w:val="0"/>
          <w:marRight w:val="0"/>
          <w:marTop w:val="480"/>
          <w:marBottom w:val="0"/>
          <w:divBdr>
            <w:top w:val="none" w:sz="0" w:space="0" w:color="auto"/>
            <w:left w:val="none" w:sz="0" w:space="0" w:color="auto"/>
            <w:bottom w:val="none" w:sz="0" w:space="0" w:color="auto"/>
            <w:right w:val="none" w:sz="0" w:space="0" w:color="auto"/>
          </w:divBdr>
        </w:div>
      </w:divsChild>
    </w:div>
    <w:div w:id="1163349668">
      <w:bodyDiv w:val="1"/>
      <w:marLeft w:val="0"/>
      <w:marRight w:val="0"/>
      <w:marTop w:val="0"/>
      <w:marBottom w:val="0"/>
      <w:divBdr>
        <w:top w:val="none" w:sz="0" w:space="0" w:color="auto"/>
        <w:left w:val="none" w:sz="0" w:space="0" w:color="auto"/>
        <w:bottom w:val="none" w:sz="0" w:space="0" w:color="auto"/>
        <w:right w:val="none" w:sz="0" w:space="0" w:color="auto"/>
      </w:divBdr>
    </w:div>
    <w:div w:id="1214584404">
      <w:bodyDiv w:val="1"/>
      <w:marLeft w:val="0"/>
      <w:marRight w:val="0"/>
      <w:marTop w:val="0"/>
      <w:marBottom w:val="0"/>
      <w:divBdr>
        <w:top w:val="none" w:sz="0" w:space="0" w:color="auto"/>
        <w:left w:val="none" w:sz="0" w:space="0" w:color="auto"/>
        <w:bottom w:val="none" w:sz="0" w:space="0" w:color="auto"/>
        <w:right w:val="none" w:sz="0" w:space="0" w:color="auto"/>
      </w:divBdr>
    </w:div>
    <w:div w:id="1237670713">
      <w:bodyDiv w:val="1"/>
      <w:marLeft w:val="0"/>
      <w:marRight w:val="0"/>
      <w:marTop w:val="0"/>
      <w:marBottom w:val="0"/>
      <w:divBdr>
        <w:top w:val="none" w:sz="0" w:space="0" w:color="auto"/>
        <w:left w:val="none" w:sz="0" w:space="0" w:color="auto"/>
        <w:bottom w:val="none" w:sz="0" w:space="0" w:color="auto"/>
        <w:right w:val="none" w:sz="0" w:space="0" w:color="auto"/>
      </w:divBdr>
    </w:div>
    <w:div w:id="1257864137">
      <w:bodyDiv w:val="1"/>
      <w:marLeft w:val="0"/>
      <w:marRight w:val="0"/>
      <w:marTop w:val="0"/>
      <w:marBottom w:val="0"/>
      <w:divBdr>
        <w:top w:val="none" w:sz="0" w:space="0" w:color="auto"/>
        <w:left w:val="none" w:sz="0" w:space="0" w:color="auto"/>
        <w:bottom w:val="none" w:sz="0" w:space="0" w:color="auto"/>
        <w:right w:val="none" w:sz="0" w:space="0" w:color="auto"/>
      </w:divBdr>
    </w:div>
    <w:div w:id="1263950794">
      <w:bodyDiv w:val="1"/>
      <w:marLeft w:val="0"/>
      <w:marRight w:val="0"/>
      <w:marTop w:val="0"/>
      <w:marBottom w:val="0"/>
      <w:divBdr>
        <w:top w:val="none" w:sz="0" w:space="0" w:color="auto"/>
        <w:left w:val="none" w:sz="0" w:space="0" w:color="auto"/>
        <w:bottom w:val="none" w:sz="0" w:space="0" w:color="auto"/>
        <w:right w:val="none" w:sz="0" w:space="0" w:color="auto"/>
      </w:divBdr>
    </w:div>
    <w:div w:id="1285582393">
      <w:bodyDiv w:val="1"/>
      <w:marLeft w:val="0"/>
      <w:marRight w:val="0"/>
      <w:marTop w:val="0"/>
      <w:marBottom w:val="0"/>
      <w:divBdr>
        <w:top w:val="none" w:sz="0" w:space="0" w:color="auto"/>
        <w:left w:val="none" w:sz="0" w:space="0" w:color="auto"/>
        <w:bottom w:val="none" w:sz="0" w:space="0" w:color="auto"/>
        <w:right w:val="none" w:sz="0" w:space="0" w:color="auto"/>
      </w:divBdr>
    </w:div>
    <w:div w:id="1291277218">
      <w:bodyDiv w:val="1"/>
      <w:marLeft w:val="0"/>
      <w:marRight w:val="0"/>
      <w:marTop w:val="0"/>
      <w:marBottom w:val="0"/>
      <w:divBdr>
        <w:top w:val="none" w:sz="0" w:space="0" w:color="auto"/>
        <w:left w:val="none" w:sz="0" w:space="0" w:color="auto"/>
        <w:bottom w:val="none" w:sz="0" w:space="0" w:color="auto"/>
        <w:right w:val="none" w:sz="0" w:space="0" w:color="auto"/>
      </w:divBdr>
    </w:div>
    <w:div w:id="1314215948">
      <w:bodyDiv w:val="1"/>
      <w:marLeft w:val="0"/>
      <w:marRight w:val="0"/>
      <w:marTop w:val="0"/>
      <w:marBottom w:val="0"/>
      <w:divBdr>
        <w:top w:val="none" w:sz="0" w:space="0" w:color="auto"/>
        <w:left w:val="none" w:sz="0" w:space="0" w:color="auto"/>
        <w:bottom w:val="none" w:sz="0" w:space="0" w:color="auto"/>
        <w:right w:val="none" w:sz="0" w:space="0" w:color="auto"/>
      </w:divBdr>
    </w:div>
    <w:div w:id="1338574627">
      <w:bodyDiv w:val="1"/>
      <w:marLeft w:val="0"/>
      <w:marRight w:val="0"/>
      <w:marTop w:val="0"/>
      <w:marBottom w:val="0"/>
      <w:divBdr>
        <w:top w:val="none" w:sz="0" w:space="0" w:color="auto"/>
        <w:left w:val="none" w:sz="0" w:space="0" w:color="auto"/>
        <w:bottom w:val="none" w:sz="0" w:space="0" w:color="auto"/>
        <w:right w:val="none" w:sz="0" w:space="0" w:color="auto"/>
      </w:divBdr>
    </w:div>
    <w:div w:id="1360010291">
      <w:bodyDiv w:val="1"/>
      <w:marLeft w:val="0"/>
      <w:marRight w:val="0"/>
      <w:marTop w:val="0"/>
      <w:marBottom w:val="0"/>
      <w:divBdr>
        <w:top w:val="none" w:sz="0" w:space="0" w:color="auto"/>
        <w:left w:val="none" w:sz="0" w:space="0" w:color="auto"/>
        <w:bottom w:val="none" w:sz="0" w:space="0" w:color="auto"/>
        <w:right w:val="none" w:sz="0" w:space="0" w:color="auto"/>
      </w:divBdr>
    </w:div>
    <w:div w:id="1367872416">
      <w:bodyDiv w:val="1"/>
      <w:marLeft w:val="0"/>
      <w:marRight w:val="0"/>
      <w:marTop w:val="0"/>
      <w:marBottom w:val="0"/>
      <w:divBdr>
        <w:top w:val="none" w:sz="0" w:space="0" w:color="auto"/>
        <w:left w:val="none" w:sz="0" w:space="0" w:color="auto"/>
        <w:bottom w:val="none" w:sz="0" w:space="0" w:color="auto"/>
        <w:right w:val="none" w:sz="0" w:space="0" w:color="auto"/>
      </w:divBdr>
    </w:div>
    <w:div w:id="1370180758">
      <w:bodyDiv w:val="1"/>
      <w:marLeft w:val="0"/>
      <w:marRight w:val="0"/>
      <w:marTop w:val="0"/>
      <w:marBottom w:val="0"/>
      <w:divBdr>
        <w:top w:val="none" w:sz="0" w:space="0" w:color="auto"/>
        <w:left w:val="none" w:sz="0" w:space="0" w:color="auto"/>
        <w:bottom w:val="none" w:sz="0" w:space="0" w:color="auto"/>
        <w:right w:val="none" w:sz="0" w:space="0" w:color="auto"/>
      </w:divBdr>
      <w:divsChild>
        <w:div w:id="1336615243">
          <w:marLeft w:val="547"/>
          <w:marRight w:val="0"/>
          <w:marTop w:val="115"/>
          <w:marBottom w:val="0"/>
          <w:divBdr>
            <w:top w:val="none" w:sz="0" w:space="0" w:color="auto"/>
            <w:left w:val="none" w:sz="0" w:space="0" w:color="auto"/>
            <w:bottom w:val="none" w:sz="0" w:space="0" w:color="auto"/>
            <w:right w:val="none" w:sz="0" w:space="0" w:color="auto"/>
          </w:divBdr>
        </w:div>
        <w:div w:id="877737009">
          <w:marLeft w:val="547"/>
          <w:marRight w:val="0"/>
          <w:marTop w:val="115"/>
          <w:marBottom w:val="0"/>
          <w:divBdr>
            <w:top w:val="none" w:sz="0" w:space="0" w:color="auto"/>
            <w:left w:val="none" w:sz="0" w:space="0" w:color="auto"/>
            <w:bottom w:val="none" w:sz="0" w:space="0" w:color="auto"/>
            <w:right w:val="none" w:sz="0" w:space="0" w:color="auto"/>
          </w:divBdr>
        </w:div>
        <w:div w:id="744303847">
          <w:marLeft w:val="547"/>
          <w:marRight w:val="0"/>
          <w:marTop w:val="115"/>
          <w:marBottom w:val="0"/>
          <w:divBdr>
            <w:top w:val="none" w:sz="0" w:space="0" w:color="auto"/>
            <w:left w:val="none" w:sz="0" w:space="0" w:color="auto"/>
            <w:bottom w:val="none" w:sz="0" w:space="0" w:color="auto"/>
            <w:right w:val="none" w:sz="0" w:space="0" w:color="auto"/>
          </w:divBdr>
        </w:div>
        <w:div w:id="1626305273">
          <w:marLeft w:val="547"/>
          <w:marRight w:val="0"/>
          <w:marTop w:val="115"/>
          <w:marBottom w:val="0"/>
          <w:divBdr>
            <w:top w:val="none" w:sz="0" w:space="0" w:color="auto"/>
            <w:left w:val="none" w:sz="0" w:space="0" w:color="auto"/>
            <w:bottom w:val="none" w:sz="0" w:space="0" w:color="auto"/>
            <w:right w:val="none" w:sz="0" w:space="0" w:color="auto"/>
          </w:divBdr>
        </w:div>
        <w:div w:id="645823372">
          <w:marLeft w:val="547"/>
          <w:marRight w:val="0"/>
          <w:marTop w:val="115"/>
          <w:marBottom w:val="0"/>
          <w:divBdr>
            <w:top w:val="none" w:sz="0" w:space="0" w:color="auto"/>
            <w:left w:val="none" w:sz="0" w:space="0" w:color="auto"/>
            <w:bottom w:val="none" w:sz="0" w:space="0" w:color="auto"/>
            <w:right w:val="none" w:sz="0" w:space="0" w:color="auto"/>
          </w:divBdr>
        </w:div>
      </w:divsChild>
    </w:div>
    <w:div w:id="1393499386">
      <w:bodyDiv w:val="1"/>
      <w:marLeft w:val="0"/>
      <w:marRight w:val="0"/>
      <w:marTop w:val="0"/>
      <w:marBottom w:val="0"/>
      <w:divBdr>
        <w:top w:val="none" w:sz="0" w:space="0" w:color="auto"/>
        <w:left w:val="none" w:sz="0" w:space="0" w:color="auto"/>
        <w:bottom w:val="none" w:sz="0" w:space="0" w:color="auto"/>
        <w:right w:val="none" w:sz="0" w:space="0" w:color="auto"/>
      </w:divBdr>
    </w:div>
    <w:div w:id="1414009465">
      <w:bodyDiv w:val="1"/>
      <w:marLeft w:val="0"/>
      <w:marRight w:val="0"/>
      <w:marTop w:val="0"/>
      <w:marBottom w:val="0"/>
      <w:divBdr>
        <w:top w:val="none" w:sz="0" w:space="0" w:color="auto"/>
        <w:left w:val="none" w:sz="0" w:space="0" w:color="auto"/>
        <w:bottom w:val="none" w:sz="0" w:space="0" w:color="auto"/>
        <w:right w:val="none" w:sz="0" w:space="0" w:color="auto"/>
      </w:divBdr>
    </w:div>
    <w:div w:id="1419910233">
      <w:bodyDiv w:val="1"/>
      <w:marLeft w:val="0"/>
      <w:marRight w:val="0"/>
      <w:marTop w:val="0"/>
      <w:marBottom w:val="0"/>
      <w:divBdr>
        <w:top w:val="none" w:sz="0" w:space="0" w:color="auto"/>
        <w:left w:val="none" w:sz="0" w:space="0" w:color="auto"/>
        <w:bottom w:val="none" w:sz="0" w:space="0" w:color="auto"/>
        <w:right w:val="none" w:sz="0" w:space="0" w:color="auto"/>
      </w:divBdr>
    </w:div>
    <w:div w:id="1433550715">
      <w:bodyDiv w:val="1"/>
      <w:marLeft w:val="0"/>
      <w:marRight w:val="0"/>
      <w:marTop w:val="0"/>
      <w:marBottom w:val="0"/>
      <w:divBdr>
        <w:top w:val="none" w:sz="0" w:space="0" w:color="auto"/>
        <w:left w:val="none" w:sz="0" w:space="0" w:color="auto"/>
        <w:bottom w:val="none" w:sz="0" w:space="0" w:color="auto"/>
        <w:right w:val="none" w:sz="0" w:space="0" w:color="auto"/>
      </w:divBdr>
    </w:div>
    <w:div w:id="1474249120">
      <w:bodyDiv w:val="1"/>
      <w:marLeft w:val="0"/>
      <w:marRight w:val="0"/>
      <w:marTop w:val="0"/>
      <w:marBottom w:val="0"/>
      <w:divBdr>
        <w:top w:val="none" w:sz="0" w:space="0" w:color="auto"/>
        <w:left w:val="none" w:sz="0" w:space="0" w:color="auto"/>
        <w:bottom w:val="none" w:sz="0" w:space="0" w:color="auto"/>
        <w:right w:val="none" w:sz="0" w:space="0" w:color="auto"/>
      </w:divBdr>
    </w:div>
    <w:div w:id="1490364201">
      <w:bodyDiv w:val="1"/>
      <w:marLeft w:val="0"/>
      <w:marRight w:val="0"/>
      <w:marTop w:val="0"/>
      <w:marBottom w:val="0"/>
      <w:divBdr>
        <w:top w:val="none" w:sz="0" w:space="0" w:color="auto"/>
        <w:left w:val="none" w:sz="0" w:space="0" w:color="auto"/>
        <w:bottom w:val="none" w:sz="0" w:space="0" w:color="auto"/>
        <w:right w:val="none" w:sz="0" w:space="0" w:color="auto"/>
      </w:divBdr>
    </w:div>
    <w:div w:id="1516849188">
      <w:bodyDiv w:val="1"/>
      <w:marLeft w:val="0"/>
      <w:marRight w:val="0"/>
      <w:marTop w:val="0"/>
      <w:marBottom w:val="0"/>
      <w:divBdr>
        <w:top w:val="none" w:sz="0" w:space="0" w:color="auto"/>
        <w:left w:val="none" w:sz="0" w:space="0" w:color="auto"/>
        <w:bottom w:val="none" w:sz="0" w:space="0" w:color="auto"/>
        <w:right w:val="none" w:sz="0" w:space="0" w:color="auto"/>
      </w:divBdr>
    </w:div>
    <w:div w:id="1530948982">
      <w:bodyDiv w:val="1"/>
      <w:marLeft w:val="0"/>
      <w:marRight w:val="0"/>
      <w:marTop w:val="0"/>
      <w:marBottom w:val="0"/>
      <w:divBdr>
        <w:top w:val="none" w:sz="0" w:space="0" w:color="auto"/>
        <w:left w:val="none" w:sz="0" w:space="0" w:color="auto"/>
        <w:bottom w:val="none" w:sz="0" w:space="0" w:color="auto"/>
        <w:right w:val="none" w:sz="0" w:space="0" w:color="auto"/>
      </w:divBdr>
    </w:div>
    <w:div w:id="1554148468">
      <w:bodyDiv w:val="1"/>
      <w:marLeft w:val="0"/>
      <w:marRight w:val="0"/>
      <w:marTop w:val="0"/>
      <w:marBottom w:val="0"/>
      <w:divBdr>
        <w:top w:val="none" w:sz="0" w:space="0" w:color="auto"/>
        <w:left w:val="none" w:sz="0" w:space="0" w:color="auto"/>
        <w:bottom w:val="none" w:sz="0" w:space="0" w:color="auto"/>
        <w:right w:val="none" w:sz="0" w:space="0" w:color="auto"/>
      </w:divBdr>
    </w:div>
    <w:div w:id="1557468996">
      <w:bodyDiv w:val="1"/>
      <w:marLeft w:val="0"/>
      <w:marRight w:val="0"/>
      <w:marTop w:val="0"/>
      <w:marBottom w:val="0"/>
      <w:divBdr>
        <w:top w:val="none" w:sz="0" w:space="0" w:color="auto"/>
        <w:left w:val="none" w:sz="0" w:space="0" w:color="auto"/>
        <w:bottom w:val="none" w:sz="0" w:space="0" w:color="auto"/>
        <w:right w:val="none" w:sz="0" w:space="0" w:color="auto"/>
      </w:divBdr>
    </w:div>
    <w:div w:id="1616596923">
      <w:bodyDiv w:val="1"/>
      <w:marLeft w:val="0"/>
      <w:marRight w:val="0"/>
      <w:marTop w:val="0"/>
      <w:marBottom w:val="0"/>
      <w:divBdr>
        <w:top w:val="none" w:sz="0" w:space="0" w:color="auto"/>
        <w:left w:val="none" w:sz="0" w:space="0" w:color="auto"/>
        <w:bottom w:val="none" w:sz="0" w:space="0" w:color="auto"/>
        <w:right w:val="none" w:sz="0" w:space="0" w:color="auto"/>
      </w:divBdr>
    </w:div>
    <w:div w:id="1633513409">
      <w:bodyDiv w:val="1"/>
      <w:marLeft w:val="0"/>
      <w:marRight w:val="0"/>
      <w:marTop w:val="0"/>
      <w:marBottom w:val="0"/>
      <w:divBdr>
        <w:top w:val="none" w:sz="0" w:space="0" w:color="auto"/>
        <w:left w:val="none" w:sz="0" w:space="0" w:color="auto"/>
        <w:bottom w:val="none" w:sz="0" w:space="0" w:color="auto"/>
        <w:right w:val="none" w:sz="0" w:space="0" w:color="auto"/>
      </w:divBdr>
    </w:div>
    <w:div w:id="1641109040">
      <w:bodyDiv w:val="1"/>
      <w:marLeft w:val="0"/>
      <w:marRight w:val="0"/>
      <w:marTop w:val="0"/>
      <w:marBottom w:val="0"/>
      <w:divBdr>
        <w:top w:val="none" w:sz="0" w:space="0" w:color="auto"/>
        <w:left w:val="none" w:sz="0" w:space="0" w:color="auto"/>
        <w:bottom w:val="none" w:sz="0" w:space="0" w:color="auto"/>
        <w:right w:val="none" w:sz="0" w:space="0" w:color="auto"/>
      </w:divBdr>
    </w:div>
    <w:div w:id="1649019437">
      <w:bodyDiv w:val="1"/>
      <w:marLeft w:val="0"/>
      <w:marRight w:val="0"/>
      <w:marTop w:val="0"/>
      <w:marBottom w:val="0"/>
      <w:divBdr>
        <w:top w:val="none" w:sz="0" w:space="0" w:color="auto"/>
        <w:left w:val="none" w:sz="0" w:space="0" w:color="auto"/>
        <w:bottom w:val="none" w:sz="0" w:space="0" w:color="auto"/>
        <w:right w:val="none" w:sz="0" w:space="0" w:color="auto"/>
      </w:divBdr>
    </w:div>
    <w:div w:id="1680545733">
      <w:bodyDiv w:val="1"/>
      <w:marLeft w:val="0"/>
      <w:marRight w:val="0"/>
      <w:marTop w:val="0"/>
      <w:marBottom w:val="0"/>
      <w:divBdr>
        <w:top w:val="none" w:sz="0" w:space="0" w:color="auto"/>
        <w:left w:val="none" w:sz="0" w:space="0" w:color="auto"/>
        <w:bottom w:val="none" w:sz="0" w:space="0" w:color="auto"/>
        <w:right w:val="none" w:sz="0" w:space="0" w:color="auto"/>
      </w:divBdr>
    </w:div>
    <w:div w:id="1708797554">
      <w:bodyDiv w:val="1"/>
      <w:marLeft w:val="0"/>
      <w:marRight w:val="0"/>
      <w:marTop w:val="0"/>
      <w:marBottom w:val="0"/>
      <w:divBdr>
        <w:top w:val="none" w:sz="0" w:space="0" w:color="auto"/>
        <w:left w:val="none" w:sz="0" w:space="0" w:color="auto"/>
        <w:bottom w:val="none" w:sz="0" w:space="0" w:color="auto"/>
        <w:right w:val="none" w:sz="0" w:space="0" w:color="auto"/>
      </w:divBdr>
    </w:div>
    <w:div w:id="1711875966">
      <w:bodyDiv w:val="1"/>
      <w:marLeft w:val="0"/>
      <w:marRight w:val="0"/>
      <w:marTop w:val="0"/>
      <w:marBottom w:val="0"/>
      <w:divBdr>
        <w:top w:val="none" w:sz="0" w:space="0" w:color="auto"/>
        <w:left w:val="none" w:sz="0" w:space="0" w:color="auto"/>
        <w:bottom w:val="none" w:sz="0" w:space="0" w:color="auto"/>
        <w:right w:val="none" w:sz="0" w:space="0" w:color="auto"/>
      </w:divBdr>
    </w:div>
    <w:div w:id="1816297160">
      <w:bodyDiv w:val="1"/>
      <w:marLeft w:val="0"/>
      <w:marRight w:val="0"/>
      <w:marTop w:val="0"/>
      <w:marBottom w:val="0"/>
      <w:divBdr>
        <w:top w:val="none" w:sz="0" w:space="0" w:color="auto"/>
        <w:left w:val="none" w:sz="0" w:space="0" w:color="auto"/>
        <w:bottom w:val="none" w:sz="0" w:space="0" w:color="auto"/>
        <w:right w:val="none" w:sz="0" w:space="0" w:color="auto"/>
      </w:divBdr>
    </w:div>
    <w:div w:id="1843929701">
      <w:bodyDiv w:val="1"/>
      <w:marLeft w:val="0"/>
      <w:marRight w:val="0"/>
      <w:marTop w:val="0"/>
      <w:marBottom w:val="0"/>
      <w:divBdr>
        <w:top w:val="none" w:sz="0" w:space="0" w:color="auto"/>
        <w:left w:val="none" w:sz="0" w:space="0" w:color="auto"/>
        <w:bottom w:val="none" w:sz="0" w:space="0" w:color="auto"/>
        <w:right w:val="none" w:sz="0" w:space="0" w:color="auto"/>
      </w:divBdr>
    </w:div>
    <w:div w:id="1935359648">
      <w:bodyDiv w:val="1"/>
      <w:marLeft w:val="0"/>
      <w:marRight w:val="0"/>
      <w:marTop w:val="0"/>
      <w:marBottom w:val="0"/>
      <w:divBdr>
        <w:top w:val="none" w:sz="0" w:space="0" w:color="auto"/>
        <w:left w:val="none" w:sz="0" w:space="0" w:color="auto"/>
        <w:bottom w:val="none" w:sz="0" w:space="0" w:color="auto"/>
        <w:right w:val="none" w:sz="0" w:space="0" w:color="auto"/>
      </w:divBdr>
    </w:div>
    <w:div w:id="1947813517">
      <w:bodyDiv w:val="1"/>
      <w:marLeft w:val="0"/>
      <w:marRight w:val="0"/>
      <w:marTop w:val="0"/>
      <w:marBottom w:val="0"/>
      <w:divBdr>
        <w:top w:val="none" w:sz="0" w:space="0" w:color="auto"/>
        <w:left w:val="none" w:sz="0" w:space="0" w:color="auto"/>
        <w:bottom w:val="none" w:sz="0" w:space="0" w:color="auto"/>
        <w:right w:val="none" w:sz="0" w:space="0" w:color="auto"/>
      </w:divBdr>
    </w:div>
    <w:div w:id="1950552085">
      <w:bodyDiv w:val="1"/>
      <w:marLeft w:val="0"/>
      <w:marRight w:val="0"/>
      <w:marTop w:val="0"/>
      <w:marBottom w:val="0"/>
      <w:divBdr>
        <w:top w:val="none" w:sz="0" w:space="0" w:color="auto"/>
        <w:left w:val="none" w:sz="0" w:space="0" w:color="auto"/>
        <w:bottom w:val="none" w:sz="0" w:space="0" w:color="auto"/>
        <w:right w:val="none" w:sz="0" w:space="0" w:color="auto"/>
      </w:divBdr>
    </w:div>
    <w:div w:id="1965037895">
      <w:bodyDiv w:val="1"/>
      <w:marLeft w:val="0"/>
      <w:marRight w:val="0"/>
      <w:marTop w:val="0"/>
      <w:marBottom w:val="0"/>
      <w:divBdr>
        <w:top w:val="none" w:sz="0" w:space="0" w:color="auto"/>
        <w:left w:val="none" w:sz="0" w:space="0" w:color="auto"/>
        <w:bottom w:val="none" w:sz="0" w:space="0" w:color="auto"/>
        <w:right w:val="none" w:sz="0" w:space="0" w:color="auto"/>
      </w:divBdr>
    </w:div>
    <w:div w:id="1966618470">
      <w:bodyDiv w:val="1"/>
      <w:marLeft w:val="0"/>
      <w:marRight w:val="0"/>
      <w:marTop w:val="0"/>
      <w:marBottom w:val="0"/>
      <w:divBdr>
        <w:top w:val="none" w:sz="0" w:space="0" w:color="auto"/>
        <w:left w:val="none" w:sz="0" w:space="0" w:color="auto"/>
        <w:bottom w:val="none" w:sz="0" w:space="0" w:color="auto"/>
        <w:right w:val="none" w:sz="0" w:space="0" w:color="auto"/>
      </w:divBdr>
    </w:div>
    <w:div w:id="1982423793">
      <w:bodyDiv w:val="1"/>
      <w:marLeft w:val="0"/>
      <w:marRight w:val="0"/>
      <w:marTop w:val="0"/>
      <w:marBottom w:val="0"/>
      <w:divBdr>
        <w:top w:val="none" w:sz="0" w:space="0" w:color="auto"/>
        <w:left w:val="none" w:sz="0" w:space="0" w:color="auto"/>
        <w:bottom w:val="none" w:sz="0" w:space="0" w:color="auto"/>
        <w:right w:val="none" w:sz="0" w:space="0" w:color="auto"/>
      </w:divBdr>
    </w:div>
    <w:div w:id="1994022544">
      <w:bodyDiv w:val="1"/>
      <w:marLeft w:val="0"/>
      <w:marRight w:val="0"/>
      <w:marTop w:val="0"/>
      <w:marBottom w:val="0"/>
      <w:divBdr>
        <w:top w:val="none" w:sz="0" w:space="0" w:color="auto"/>
        <w:left w:val="none" w:sz="0" w:space="0" w:color="auto"/>
        <w:bottom w:val="none" w:sz="0" w:space="0" w:color="auto"/>
        <w:right w:val="none" w:sz="0" w:space="0" w:color="auto"/>
      </w:divBdr>
    </w:div>
    <w:div w:id="2013143877">
      <w:bodyDiv w:val="1"/>
      <w:marLeft w:val="0"/>
      <w:marRight w:val="0"/>
      <w:marTop w:val="0"/>
      <w:marBottom w:val="0"/>
      <w:divBdr>
        <w:top w:val="none" w:sz="0" w:space="0" w:color="auto"/>
        <w:left w:val="none" w:sz="0" w:space="0" w:color="auto"/>
        <w:bottom w:val="none" w:sz="0" w:space="0" w:color="auto"/>
        <w:right w:val="none" w:sz="0" w:space="0" w:color="auto"/>
      </w:divBdr>
    </w:div>
    <w:div w:id="2024739227">
      <w:bodyDiv w:val="1"/>
      <w:marLeft w:val="0"/>
      <w:marRight w:val="0"/>
      <w:marTop w:val="0"/>
      <w:marBottom w:val="0"/>
      <w:divBdr>
        <w:top w:val="none" w:sz="0" w:space="0" w:color="auto"/>
        <w:left w:val="none" w:sz="0" w:space="0" w:color="auto"/>
        <w:bottom w:val="none" w:sz="0" w:space="0" w:color="auto"/>
        <w:right w:val="none" w:sz="0" w:space="0" w:color="auto"/>
      </w:divBdr>
    </w:div>
    <w:div w:id="2030599007">
      <w:bodyDiv w:val="1"/>
      <w:marLeft w:val="0"/>
      <w:marRight w:val="0"/>
      <w:marTop w:val="0"/>
      <w:marBottom w:val="0"/>
      <w:divBdr>
        <w:top w:val="none" w:sz="0" w:space="0" w:color="auto"/>
        <w:left w:val="none" w:sz="0" w:space="0" w:color="auto"/>
        <w:bottom w:val="none" w:sz="0" w:space="0" w:color="auto"/>
        <w:right w:val="none" w:sz="0" w:space="0" w:color="auto"/>
      </w:divBdr>
    </w:div>
    <w:div w:id="2070758635">
      <w:bodyDiv w:val="1"/>
      <w:marLeft w:val="0"/>
      <w:marRight w:val="0"/>
      <w:marTop w:val="0"/>
      <w:marBottom w:val="0"/>
      <w:divBdr>
        <w:top w:val="none" w:sz="0" w:space="0" w:color="auto"/>
        <w:left w:val="none" w:sz="0" w:space="0" w:color="auto"/>
        <w:bottom w:val="none" w:sz="0" w:space="0" w:color="auto"/>
        <w:right w:val="none" w:sz="0" w:space="0" w:color="auto"/>
      </w:divBdr>
    </w:div>
    <w:div w:id="2119372639">
      <w:bodyDiv w:val="1"/>
      <w:marLeft w:val="0"/>
      <w:marRight w:val="0"/>
      <w:marTop w:val="0"/>
      <w:marBottom w:val="0"/>
      <w:divBdr>
        <w:top w:val="none" w:sz="0" w:space="0" w:color="auto"/>
        <w:left w:val="none" w:sz="0" w:space="0" w:color="auto"/>
        <w:bottom w:val="none" w:sz="0" w:space="0" w:color="auto"/>
        <w:right w:val="none" w:sz="0" w:space="0" w:color="auto"/>
      </w:divBdr>
    </w:div>
    <w:div w:id="2141528486">
      <w:bodyDiv w:val="1"/>
      <w:marLeft w:val="0"/>
      <w:marRight w:val="0"/>
      <w:marTop w:val="0"/>
      <w:marBottom w:val="0"/>
      <w:divBdr>
        <w:top w:val="none" w:sz="0" w:space="0" w:color="auto"/>
        <w:left w:val="none" w:sz="0" w:space="0" w:color="auto"/>
        <w:bottom w:val="none" w:sz="0" w:space="0" w:color="auto"/>
        <w:right w:val="none" w:sz="0" w:space="0" w:color="auto"/>
      </w:divBdr>
    </w:div>
    <w:div w:id="2142071877">
      <w:bodyDiv w:val="1"/>
      <w:marLeft w:val="0"/>
      <w:marRight w:val="0"/>
      <w:marTop w:val="0"/>
      <w:marBottom w:val="0"/>
      <w:divBdr>
        <w:top w:val="none" w:sz="0" w:space="0" w:color="auto"/>
        <w:left w:val="none" w:sz="0" w:space="0" w:color="auto"/>
        <w:bottom w:val="none" w:sz="0" w:space="0" w:color="auto"/>
        <w:right w:val="none" w:sz="0" w:space="0" w:color="auto"/>
      </w:divBdr>
    </w:div>
    <w:div w:id="2143385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ol.gov/ofccp/LGBT/LGBT_FAQs.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7C21906DDC21B4E8BF952FCFC7994FE" ma:contentTypeVersion="8" ma:contentTypeDescription="Create a new document." ma:contentTypeScope="" ma:versionID="1677e1b205c60cce0066e0ae9085755a">
  <xsd:schema xmlns:xsd="http://www.w3.org/2001/XMLSchema" xmlns:xs="http://www.w3.org/2001/XMLSchema" xmlns:p="http://schemas.microsoft.com/office/2006/metadata/properties" xmlns:ns2="b3b48875-26fd-4f6b-83a1-be02a3bfe467" xmlns:ns3="884dae84-c61d-4298-8a7a-9948abe8ae97" targetNamespace="http://schemas.microsoft.com/office/2006/metadata/properties" ma:root="true" ma:fieldsID="bf64ca15aa5ffbdab3016a926a26c45a" ns2:_="" ns3:_="">
    <xsd:import namespace="b3b48875-26fd-4f6b-83a1-be02a3bfe467"/>
    <xsd:import namespace="884dae84-c61d-4298-8a7a-9948abe8ae9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b48875-26fd-4f6b-83a1-be02a3bfe4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4dae84-c61d-4298-8a7a-9948abe8ae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897D9B-CB38-4CFE-84AA-55EAACB5A3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F51DC3-D648-4A0E-9249-CF23BBCEE3D2}">
  <ds:schemaRefs>
    <ds:schemaRef ds:uri="http://schemas.openxmlformats.org/officeDocument/2006/bibliography"/>
  </ds:schemaRefs>
</ds:datastoreItem>
</file>

<file path=customXml/itemProps3.xml><?xml version="1.0" encoding="utf-8"?>
<ds:datastoreItem xmlns:ds="http://schemas.openxmlformats.org/officeDocument/2006/customXml" ds:itemID="{DCF98A95-E564-47E1-951F-D2E037159CA9}">
  <ds:schemaRefs>
    <ds:schemaRef ds:uri="http://schemas.microsoft.com/sharepoint/v3/contenttype/forms"/>
  </ds:schemaRefs>
</ds:datastoreItem>
</file>

<file path=customXml/itemProps4.xml><?xml version="1.0" encoding="utf-8"?>
<ds:datastoreItem xmlns:ds="http://schemas.openxmlformats.org/officeDocument/2006/customXml" ds:itemID="{8044EC8C-BC1A-4C44-B687-E1330CC75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b48875-26fd-4f6b-83a1-be02a3bfe467"/>
    <ds:schemaRef ds:uri="884dae84-c61d-4298-8a7a-9948abe8ae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12532</Words>
  <Characters>68724</Characters>
  <Application>Microsoft Office Word</Application>
  <DocSecurity>0</DocSecurity>
  <Lines>572</Lines>
  <Paragraphs>162</Paragraphs>
  <ScaleCrop>false</ScaleCrop>
  <HeadingPairs>
    <vt:vector size="2" baseType="variant">
      <vt:variant>
        <vt:lpstr>Title</vt:lpstr>
      </vt:variant>
      <vt:variant>
        <vt:i4>1</vt:i4>
      </vt:variant>
    </vt:vector>
  </HeadingPairs>
  <TitlesOfParts>
    <vt:vector size="1" baseType="lpstr">
      <vt:lpstr/>
    </vt:vector>
  </TitlesOfParts>
  <Company>Office of the Purchasing Agent</Company>
  <LinksUpToDate>false</LinksUpToDate>
  <CharactersWithSpaces>81094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Stout</dc:creator>
  <cp:keywords/>
  <dc:description/>
  <cp:lastModifiedBy>Harris, Tiffany (Purchasing)</cp:lastModifiedBy>
  <cp:revision>7</cp:revision>
  <cp:lastPrinted>2023-08-01T16:22:00Z</cp:lastPrinted>
  <dcterms:created xsi:type="dcterms:W3CDTF">2024-10-29T16:31:00Z</dcterms:created>
  <dcterms:modified xsi:type="dcterms:W3CDTF">2024-11-19T15:05:00Z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0x010100E7C21906DDC21B4E8BF952FCFC7994FE</vt:lpwstr>
  </property>
  <property fmtid="{D5CDD505-2E9C-101B-9397-08002B2CF9AE}" pid="3" name="GrammarlyDocumentId">
    <vt:lpwstr>f93e0529b81f08f68a8a64e293199bad945f5857ba406d638c091f3a7afedac1</vt:lpwstr>
  </property>
</Properties>
</file>